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14,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This is a question of clinical practice management, namely the content and quality of routine radiology reports, rather than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