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 report-level audit of 740 preoperative examinations in 465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2,998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Preoperative index reports for gastrointestinal ultrasound, abdominal CT and the upper gastrointestinal (UGI) contrast series were classified for malrotation detection by a rule-based algorithm with blinded surgeon adjudication, and separately audited for documented technical content. Because the cohort was assembled on surgically confirmed disease, the outcome is report-level detection; sensitivity, specificity and comparative accuracy are not estimable.</w:t>
      </w:r>
    </w:p>
    <w:p>
      <w:pPr>
        <w:spacing w:after="160"/>
      </w:pPr>
      <w:r>
        <w:rPr>
          <w:b/>
        </w:rPr>
        <w:t>Results</w:t>
      </w:r>
      <w:r>
        <w:t xml:space="preserve"> Among 465 children (median age at operation 13 days; volvulus in 86.7%), 410 had at least one index test (740 examinations). No ultrasound report (0/119) documented D3 or the duodenojejunal junction; the mesenteric artery–vein relationship was described in 8.4% and enteric fluid in 0.8%, whereas a whirlpool sign was recorded in 49.6%. Ultrasound reported malrotation in 59 of 59 examinations documenting a whirlpool and 6 of 60 without one. Detection was 78.7% (237/301) for the UGI series, 53.4% (171/320) for CT and 54.6% (65/119) for ultrasound, on non-comparable denominators. Ultrasound detection rose from 41.0% to 61.3% between eras, an effect abolished by adjusting for a shift toward vessel-focused examination (era odds ratio 2.27 to 1.56; examination-type 3.46).</w:t>
      </w:r>
    </w:p>
    <w:p>
      <w:pPr>
        <w:spacing w:after="160"/>
      </w:pPr>
      <w:r>
        <w:rPr>
          <w:b/>
        </w:rPr>
        <w:t>Conclusion</w:t>
      </w:r>
      <w:r>
        <w:t xml:space="preserve"> Routine ultrasound functioned as a whirlpool-dependent test for volvulus rather than a protocolised assessment of duodenal position. The gap between real-world and published ultrasound performance is a gap in technique and reporting, not an intrinsic limitation of ultrasound.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where they do not, the achievable detection rate is far lower and a negative ultrasound cannot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none of 119 routine ultrasound reports.</w:t>
      </w:r>
    </w:p>
    <w:p>
      <w:pPr>
        <w:spacing w:after="160"/>
      </w:pPr>
      <w:r>
        <w:t>• A recorded whirlpool sign separated positive from negative ultrasound reports.</w:t>
      </w:r>
    </w:p>
    <w:p>
      <w:pPr>
        <w:spacing w:after="160"/>
      </w:pPr>
      <w:r>
        <w:t>• Detection improved when the examination changed, not as time passed.</w:t>
      </w:r>
    </w:p>
    <w:p>
      <w:pPr>
        <w:pStyle w:val="Heading1"/>
      </w:pPr>
      <w:r>
        <w:t>Introduction</w:t>
      </w:r>
    </w:p>
    <w:p>
      <w:pPr>
        <w:spacing w:after="160"/>
      </w:pPr>
      <w:r>
        <w:t>Intestinal malrotation predisposes to midgut volvulus, which can progress within hours to bowel ischaemia, necrosis, short-bowel syndrome or death [1, 2]. Bilious vomiting in a neonate remains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 6]. Over the past decade the field has moved toward ultrasound: contemporary series report sensitivities of 93–97%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in the abstract but to specific technical elements: the third portion of the duodenum (D3), the duodenojejunal junction, the superior mesenteric artery–vein relationship, enteric fluid and dynamic graded compression [9, 12, 18, 20, 21] — elements the same literature records as demanding and not universally achievable, with D3 position alone argued insufficient for a confident diagnosis [22].</w:t>
      </w:r>
    </w:p>
    <w:p>
      <w:pPr>
        <w:spacing w:after="160"/>
      </w:pPr>
      <w:r>
        <w:t>This creates a question those studies cannot answer. They describe what ultrasound achieves under favourable conditions, by readers who know malrotation is the question; what clinicians act on is the routine report issued during unselected care. If the elements driving published accuracy are frequently absent from routine examinations, a department adopting an ultrasound-first pathway on the strength of the published figures may not obtain the published performance. To our knowledge, no study has examined the content of routine malrotation ultrasound reports at scale, or linked it to whether the diagnosis was reported.</w:t>
      </w:r>
    </w:p>
    <w:p>
      <w:pPr>
        <w:spacing w:after="160"/>
      </w:pPr>
      <w:r>
        <w:t>We therefore audited 13.5 years of routine reports at a tertiary children's hospital. Because every child had surgically confirmed malrotation, the study measures how often the disease was named in the report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This was a retrospective, single-centre, case-only report audit, approved by the institutional review board with waiver of informed consent. Reporting follows STROBE [14]; STARD was deliberately not used, because the design does not meet the definition of a diagnostic accuracy study.</w:t>
      </w:r>
    </w:p>
    <w:p>
      <w:pPr>
        <w:spacing w:after="160"/>
      </w:pPr>
      <w:r>
        <w:t xml:space="preserve">The cohort contains no children in whom malrotation was suspected and excluded, with three consequences applied throughout. The outcome is the </w:t>
      </w:r>
      <w:r>
        <w:rPr>
          <w:b/>
        </w:rPr>
        <w:t>report-level detection rate among surgically confirmed cases</w:t>
      </w:r>
      <w:r>
        <w:t xml:space="preserve">; we do not call it "sensitivity", which would invite the inference that the figure applies to children investigated for suspected malrotation. Specificity, predictive values and any accuracy-based ranking are not estimable and are neither reported nor implied. And each modality was ordered for different reasons in overlapping but non-identical groups, so the rates rest on indication-selected denominators and between-modality models describe practice, not test performance.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identified consecutive children who underwent surgery for intestinal malrotation between December 2012 and June 2026 from the institutional clinical and surgical records database. Inclusion required an operative diagnosis of malrotation, which served as the reference standard. Midgut volvulus was defined by an explicit operative statement of volvulus or a documented degree of midgut or mesenteric rotation; isolated gastric volvulus and torsion of other organs were excluded. No child meeting the criterion was excluded and no sample-size calculation was performed. Age at operation was age at admission for the operative encounter plus the interval to operation.</w:t>
      </w:r>
    </w:p>
    <w:p>
      <w:pPr>
        <w:spacing w:after="160"/>
      </w:pPr>
      <w:r>
        <w:t>Three preoperative modalities were evaluated: gastrointestinal and mesenteric-vessel ultrasound (examinations coded as gastrointestinal, abdominal great-vessel or pyloric ultrasound), abdominal CT (overall and by contrast enhancement), and the UGI contrast series; contrast enema studies of the colon were not counted. For each child and modality the preoperative examination closest to the operation was the index test.</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no structured malrotation template was in use at any point, and no documented revision of the ultrasound protocol could be identified in departmental records ⟦AUTHORS: confirm and, if a protocol or equipment change did occur, give its date⟧. Because CT was ascertained from report text rather than a dose registry, radiation dose metrics could not be captured.</w:t>
      </w:r>
    </w:p>
    <w:p>
      <w:pPr>
        <w:pStyle w:val="Heading2"/>
      </w:pPr>
      <w:r>
        <w:t>Report-content audit and classification</w:t>
      </w:r>
    </w:p>
    <w:p>
      <w:pPr>
        <w:spacing w:after="160"/>
      </w:pPr>
      <w:r>
        <w:t>Each index report was separately coded for documented technical content by pre-specified text patterns applied to the findings and conclusion sections — for ultrasound, D3 or the duodenojejunal junction, the superior mesenteric artery–vein relationship and vessel inversion, a whirlpool appearance, enteric fluid, limiting bowel gas, caecal position and bedside performance; for CT and the UGI series, the corresponding landmarks (Online Resource 1). This audit is a lower bound on what was performed: an element assessed but not written down is indistinguishable here from one never assessed.</w:t>
      </w:r>
    </w:p>
    <w:p>
      <w:pPr>
        <w:spacing w:after="160"/>
      </w:pPr>
      <w:r>
        <w:t>An examination was positive when its conclusion raised malrotation, including tentative phrasing, or a modality-appropriate diagnostic sign; explicit negation was negative and isolated gastric volvulus was not counted. Because tentative phrasing is standard in our department, we tabulated the certainty tier of every positive conclusion and repeated the principal analyses after reclassifying all "possible"-tier conclusions as negative.</w:t>
      </w:r>
    </w:p>
    <w:p>
      <w:pPr>
        <w:spacing w:after="160"/>
      </w:pPr>
      <w:r>
        <w:t>Report text was classified with a rule-based, clause-level algorithm with explicit negation handling [15]; the rule dictionary, negation logic, priority rules and worked misclassification examples are in Online Resource 1. A paediatric surgeon blinded to the operative findings adjudicated 32 reports: in a stratified random sample of 24, algorithm–adjudicator agreement was 92% (Cohen kappa 0.83), and a targeted review of the 8 reports in which a malrotation sign co-occurred with a negative machine label found 5 further under-calls, which were corrected but, being selected as suspected discordances, are excluded from the agreement statistics. All discordances were machine under-calls, so detection rates are conservative. Validation rested on one adjudicator, so interobserver agreement could not be estimated.</w:t>
      </w:r>
    </w:p>
    <w:p>
      <w:pPr>
        <w:pStyle w:val="Heading2"/>
      </w:pPr>
      <w:r>
        <w:t>Statistical analysis</w:t>
      </w:r>
    </w:p>
    <w:p>
      <w:pPr>
        <w:spacing w:after="160"/>
      </w:pPr>
      <w:r>
        <w:t>Detection rates are presented with Wilson 95% confidence intervals (CIs), with denominators shown wherever a rate appears, including in figures. Characteristics of the children receiving each index test are tabulated to display confounding by indication rather than to adjust it away.</w:t>
      </w:r>
    </w:p>
    <w:p>
      <w:pPr>
        <w:spacing w:after="160"/>
      </w:pPr>
      <w:r>
        <w:t>Between-modality comparison used a generalised estimating equation (GEE) logistic model [16] with patient-level clustering and cluster-robust standard errors, unadjusted and adjusted for era (2012–2018 vs 2019–2026) and age category. A pre-specified modality-by-volvulus interaction was not estimable across all three modalities, because no ultrasound examination was positive among the six children without volvulus (complete separation). In the subgroup receiving all three modalities, detection was compared with Cochran's Q and the exact McNemar test, repeated where all three examinations fell within 48 h and 24 h (Online Resource 2). The temporal change was examined with modality-specific logistic models of detection on era, before and after adding that modality's content variable (for ultrasound, a mesenteric-vessel study; for CT, contrast enhancement); attenuation of the era coefficient was read as evidence that the change operated through examination content rather than calendar time. P values were not adjusted for multiplicity. Analyses used Python 3.12 (statsmodels 0.15, SciPy 1.17).</w:t>
      </w:r>
    </w:p>
    <w:p>
      <w:pPr>
        <w:pStyle w:val="Heading1"/>
      </w:pPr>
      <w:r>
        <w:t>Results</w:t>
      </w:r>
    </w:p>
    <w:p>
      <w:pPr>
        <w:pStyle w:val="Heading2"/>
      </w:pPr>
      <w:r>
        <w:t>Cohort, and what the children without an index test received</w:t>
      </w:r>
    </w:p>
    <w:p>
      <w:pPr>
        <w:spacing w:after="160"/>
      </w:pPr>
      <w:r>
        <w:t>Of the 465 children with surgically confirmed malrotation, 352 (75.7%) were male, median age at operation was 13 days (interquartile range 7 days to 2.8 months, range 0–14.2 years), 302 (64.9%) were neonates and 403 (86.7%) had midgut volvulus. An index examination was available in 301 children for the UGI series, 320 for CT and 119 for ultrasound; 410 had at least one (740 index examinations) and 59 had all three (Table 1, Fig. 1).</w:t>
      </w:r>
    </w:p>
    <w:p>
      <w:pPr>
        <w:spacing w:after="160"/>
      </w:pPr>
      <w:r>
        <w:t>Fifty-five children (11.8%) had none of the three index examinations, but none was operated on without imaging: 46 had radiographs, 12 a contrast enema of the colon, 22 ultrasound of another region and 7 CT of another region. Only 5 had no in-hospital preoperative study, and each of their admission records documented imaging performed before transfer, three already reporting malrotation or volvulus. They were older than the imaged children (median 63 vs 12 days), less often neonates (41.8% vs 68.0%) and less often had volvulus (76.4% vs 88.0%), so their exclusion is informative missingness rather than random loss.</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broadly similar in age and sex but not interchangeable (Table 1): children who underwent ultrasound had volvulus more often (95.0% vs 89.0% and 87.8%) and were concentrated in the second era (67.2% vs 31.9% and 32.8%), ultrasound utilisation rising from 13% to 48%. Test sequence differed too — the UGI series was the final preoperative test in 75.1% of children who received it, against 19.2% for CT and 36.8% for ultrasound, and its detection was higher in that position (80.4% vs 70.5%) — so it functioned as the confirmatory study preceding operation, a feature of the pathway rather than of the test.</w:t>
      </w:r>
    </w:p>
    <w:p>
      <w:pPr>
        <w:pStyle w:val="Heading2"/>
      </w:pPr>
      <w:r>
        <w:t>Report-level detection and the certainty of the wording</w:t>
      </w:r>
    </w:p>
    <w:p>
      <w:pPr>
        <w:spacing w:after="160"/>
      </w:pPr>
      <w:r>
        <w:t>Detection was 237/301 (78.7%, 95% CI 73.8–83.0) for the UGI series, 171/320 (53.4%, 48.0–58.8) for CT and 65/119 (54.6%, 45.7–63.3) for ultrasound (Table 2, Fig. 2) — indication-selected denominators drawn from overlapping groups, not a ranking of the tests. In the GEE model CT and ultrasound had lower odds of a positive report than the UGI series (odds ratio 0.31 [0.22–0.44] and 0.33 [0.21–0.50]; both p&lt;0.001), essentially unchanged after adjustment for era and age; these coefficients absorb the indication for the test, its pathway position and its content (Online Resource 2).</w:t>
      </w:r>
    </w:p>
    <w:p>
      <w:pPr>
        <w:spacing w:after="160"/>
      </w:pPr>
      <w:r>
        <w:t>Tentative phrasing was common and differed by modality: 35.0% (UGI), 36.3% (CT) and 49.2% (ultrasound) of positive conclusions used possible wording ("suspected", "cannot be excluded", "?"), none of which was a false positive since every child had confirmed disease. Reclassifying all possible-tier conclusions as negative reduced detection to 51.2%, 34.1% and 27.7% without changing the ordering, the largest proportional reduction falling on ultrasound.</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Ultrasound, whirlpool sign recorded</w:t>
            </w:r>
          </w:p>
        </w:tc>
        <w:tc>
          <w:tcPr>
            <w:tcW w:type="dxa" w:w="1337"/>
          </w:tcPr>
          <w:p>
            <w:r/>
            <w:r>
              <w:rPr>
                <w:rFonts w:ascii="Times New Roman" w:hAnsi="Times New Roman"/>
                <w:sz w:val="17"/>
              </w:rPr>
              <w:t>59/119</w:t>
            </w:r>
          </w:p>
        </w:tc>
        <w:tc>
          <w:tcPr>
            <w:tcW w:type="dxa" w:w="1337"/>
          </w:tcPr>
          <w:p>
            <w:r/>
            <w:r>
              <w:rPr>
                <w:rFonts w:ascii="Times New Roman" w:hAnsi="Times New Roman"/>
                <w:sz w:val="17"/>
              </w:rPr>
              <w:t>49.6 (40.8–58.4)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735738"/>
            <wp:docPr id="2" name="Picture 2"/>
            <wp:cNvGraphicFramePr>
              <a:graphicFrameLocks noChangeAspect="1"/>
            </wp:cNvGraphicFramePr>
            <a:graphic>
              <a:graphicData uri="http://schemas.openxmlformats.org/drawingml/2006/picture">
                <pic:pic>
                  <pic:nvPicPr>
                    <pic:cNvPr id="0" name="Figure3_detection.png"/>
                    <pic:cNvPicPr/>
                  </pic:nvPicPr>
                  <pic:blipFill>
                    <a:blip r:embed="rId10"/>
                    <a:stretch>
                      <a:fillRect/>
                    </a:stretch>
                  </pic:blipFill>
                  <pic:spPr>
                    <a:xfrm>
                      <a:off x="0" y="0"/>
                      <a:ext cx="5852160" cy="2735738"/>
                    </a:xfrm>
                    <a:prstGeom prst="rect"/>
                  </pic:spPr>
                </pic:pic>
              </a:graphicData>
            </a:graphic>
          </wp:inline>
        </w:drawing>
      </w:r>
    </w:p>
    <w:p>
      <w:pPr>
        <w:pStyle w:val="Heading2"/>
      </w:pPr>
      <w:r>
        <w:t>What the ultrasound reports contained</w:t>
      </w:r>
    </w:p>
    <w:p>
      <w:pPr>
        <w:spacing w:after="160"/>
      </w:pPr>
      <w:r>
        <w:t>The central finding concerns the content of the 119 ultrasound index reports (Table 3, Fig. 3). Not one documented D3 or the duodenojejunal junction (0/119, 0%; 95% CI 0–3.1); six (5.0%) mentioned the duodenum at all. Ten (8.4%) described the superior mesenteric artery–vein relationship, and only one (0.8%) stated explicitly that the vessels were inverted, although vessel inversion was one of the two criteria defining a positive ultrasound. One report recorded enteric fluid and four (3.4%) caecal position. By contrast, 59 (49.6%) recorded a whirlpool or spiral appearance, and bowel gas was reported as limiting the examination in 26 (21.8%).</w:t>
      </w:r>
    </w:p>
    <w:p>
      <w:pPr>
        <w:spacing w:after="160"/>
      </w:pPr>
      <w:r>
        <w:t>Detection followed this content almost deterministically: ultrasound reported malrotation in 59 of the 59 examinations documenting a whirlpool (100%, 95% CI 93.9–100) and 6 of the 60 without one (10.0%, 4.7–20.1), and where the mesenteric-vessel relationship was described, 10 of 10 were positive. Detection was 70.5% (43/61) for examinations recorded as abdominal great-vessel studies, 47.1% (32/68) for gastrointestinal ultrasound and 22.2% for the nine bedside examinations. In this cohort ultrasound diagnosed malrotation when, and essentially only when, it saw the twisted pedicle of an active volvulus.</w:t>
      </w:r>
    </w:p>
    <w:p>
      <w:pPr>
        <w:spacing w:after="160"/>
      </w:pPr>
      <w:r>
        <w:t>The audits of CT and the UGI series show the same principle with different content (Online Resource 3): a mesenteric whirl was described in 36.2% of CT reports and the duodenojejunal junction in 54.5% of UGI reports, of which 98.3% and 98.2% were positive against 27.9% and 55.5% of those without. The UGI series was the only modality documenting the landmark that defines malrotation in most examinations.</w:t>
      </w:r>
    </w:p>
    <w:p>
      <w:pPr>
        <w:spacing w:after="160"/>
      </w:pPr>
      <w:r>
        <w:rPr>
          <w:b/>
        </w:rPr>
        <w:t>Table 3. Documented content of the 119 routine gastrointestinal ultrasound index reports,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report</w:t>
            </w:r>
          </w:p>
        </w:tc>
        <w:tc>
          <w:tcPr>
            <w:tcW w:type="dxa" w:w="1560"/>
          </w:tcPr>
          <w:p>
            <w:r/>
            <w:r>
              <w:rPr>
                <w:rFonts w:ascii="Times New Roman" w:hAnsi="Times New Roman"/>
                <w:b/>
                <w:sz w:val="17"/>
              </w:rPr>
              <w:t>n (%) of 119 reports</w:t>
            </w:r>
          </w:p>
        </w:tc>
        <w:tc>
          <w:tcPr>
            <w:tcW w:type="dxa" w:w="1560"/>
          </w:tcPr>
          <w:p>
            <w:r/>
            <w:r>
              <w:rPr>
                <w:rFonts w:ascii="Times New Roman" w:hAnsi="Times New Roman"/>
                <w:b/>
                <w:sz w:val="17"/>
              </w:rPr>
              <w:t>2012–2018 (n=39), %</w:t>
            </w:r>
          </w:p>
        </w:tc>
        <w:tc>
          <w:tcPr>
            <w:tcW w:type="dxa" w:w="1560"/>
          </w:tcPr>
          <w:p>
            <w:r/>
            <w:r>
              <w:rPr>
                <w:rFonts w:ascii="Times New Roman" w:hAnsi="Times New Roman"/>
                <w:b/>
                <w:sz w:val="17"/>
              </w:rPr>
              <w:t>2019–2026 (n=80), %</w:t>
            </w:r>
          </w:p>
        </w:tc>
        <w:tc>
          <w:tcPr>
            <w:tcW w:type="dxa" w:w="1560"/>
          </w:tcPr>
          <w:p>
            <w:r/>
            <w:r>
              <w:rPr>
                <w:rFonts w:ascii="Times New Roman" w:hAnsi="Times New Roman"/>
                <w:b/>
                <w:sz w:val="17"/>
              </w:rPr>
              <w:t>Detection when documented, %</w:t>
            </w:r>
          </w:p>
        </w:tc>
        <w:tc>
          <w:tcPr>
            <w:tcW w:type="dxa" w:w="1560"/>
          </w:tcPr>
          <w:p>
            <w:r/>
            <w:r>
              <w:rPr>
                <w:rFonts w:ascii="Times New Roman" w:hAnsi="Times New Roman"/>
                <w:b/>
                <w:sz w:val="17"/>
              </w:rPr>
              <w:t>Detection when not documented, %</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0 (0.0)</w:t>
            </w:r>
          </w:p>
        </w:tc>
        <w:tc>
          <w:tcPr>
            <w:tcW w:type="dxa" w:w="1560"/>
          </w:tcPr>
          <w:p>
            <w:r/>
            <w:r>
              <w:rPr>
                <w:rFonts w:ascii="Times New Roman" w:hAnsi="Times New Roman"/>
                <w:sz w:val="17"/>
              </w:rPr>
              <w:t>0.0</w:t>
            </w:r>
          </w:p>
        </w:tc>
        <w:tc>
          <w:tcPr>
            <w:tcW w:type="dxa" w:w="1560"/>
          </w:tcPr>
          <w:p>
            <w:r/>
            <w:r>
              <w:rPr>
                <w:rFonts w:ascii="Times New Roman" w:hAnsi="Times New Roman"/>
                <w:sz w:val="17"/>
              </w:rPr>
              <w:t>0.0</w:t>
            </w:r>
          </w:p>
        </w:tc>
        <w:tc>
          <w:tcPr>
            <w:tcW w:type="dxa" w:w="1560"/>
          </w:tcPr>
          <w:p>
            <w:r/>
            <w:r>
              <w:rPr>
                <w:rFonts w:ascii="Times New Roman" w:hAnsi="Times New Roman"/>
                <w:sz w:val="17"/>
              </w:rPr>
              <w:t>–</w:t>
            </w:r>
          </w:p>
        </w:tc>
        <w:tc>
          <w:tcPr>
            <w:tcW w:type="dxa" w:w="1560"/>
          </w:tcPr>
          <w:p>
            <w:r/>
            <w:r>
              <w:rPr>
                <w:rFonts w:ascii="Times New Roman" w:hAnsi="Times New Roman"/>
                <w:sz w:val="17"/>
              </w:rPr>
              <w:t>54.6</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6 (5.0)</w:t>
            </w:r>
          </w:p>
        </w:tc>
        <w:tc>
          <w:tcPr>
            <w:tcW w:type="dxa" w:w="1560"/>
          </w:tcPr>
          <w:p>
            <w:r/>
            <w:r>
              <w:rPr>
                <w:rFonts w:ascii="Times New Roman" w:hAnsi="Times New Roman"/>
                <w:sz w:val="17"/>
              </w:rPr>
              <w:t>7.7</w:t>
            </w:r>
          </w:p>
        </w:tc>
        <w:tc>
          <w:tcPr>
            <w:tcW w:type="dxa" w:w="1560"/>
          </w:tcPr>
          <w:p>
            <w:r/>
            <w:r>
              <w:rPr>
                <w:rFonts w:ascii="Times New Roman" w:hAnsi="Times New Roman"/>
                <w:sz w:val="17"/>
              </w:rPr>
              <w:t>3.8</w:t>
            </w:r>
          </w:p>
        </w:tc>
        <w:tc>
          <w:tcPr>
            <w:tcW w:type="dxa" w:w="1560"/>
          </w:tcPr>
          <w:p>
            <w:r/>
            <w:r>
              <w:rPr>
                <w:rFonts w:ascii="Times New Roman" w:hAnsi="Times New Roman"/>
                <w:sz w:val="17"/>
              </w:rPr>
              <w:t>33.3</w:t>
            </w:r>
          </w:p>
        </w:tc>
        <w:tc>
          <w:tcPr>
            <w:tcW w:type="dxa" w:w="1560"/>
          </w:tcPr>
          <w:p>
            <w:r/>
            <w:r>
              <w:rPr>
                <w:rFonts w:ascii="Times New Roman" w:hAnsi="Times New Roman"/>
                <w:sz w:val="17"/>
              </w:rPr>
              <w:t>55.8</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10 (8.4)</w:t>
            </w:r>
          </w:p>
        </w:tc>
        <w:tc>
          <w:tcPr>
            <w:tcW w:type="dxa" w:w="1560"/>
          </w:tcPr>
          <w:p>
            <w:r/>
            <w:r>
              <w:rPr>
                <w:rFonts w:ascii="Times New Roman" w:hAnsi="Times New Roman"/>
                <w:sz w:val="17"/>
              </w:rPr>
              <w:t>5.1</w:t>
            </w:r>
          </w:p>
        </w:tc>
        <w:tc>
          <w:tcPr>
            <w:tcW w:type="dxa" w:w="1560"/>
          </w:tcPr>
          <w:p>
            <w:r/>
            <w:r>
              <w:rPr>
                <w:rFonts w:ascii="Times New Roman" w:hAnsi="Times New Roman"/>
                <w:sz w:val="17"/>
              </w:rPr>
              <w:t>10.0</w:t>
            </w:r>
          </w:p>
        </w:tc>
        <w:tc>
          <w:tcPr>
            <w:tcW w:type="dxa" w:w="1560"/>
          </w:tcPr>
          <w:p>
            <w:r/>
            <w:r>
              <w:rPr>
                <w:rFonts w:ascii="Times New Roman" w:hAnsi="Times New Roman"/>
                <w:sz w:val="17"/>
              </w:rPr>
              <w:t>100.0</w:t>
            </w:r>
          </w:p>
        </w:tc>
        <w:tc>
          <w:tcPr>
            <w:tcW w:type="dxa" w:w="1560"/>
          </w:tcPr>
          <w:p>
            <w:r/>
            <w:r>
              <w:rPr>
                <w:rFonts w:ascii="Times New Roman" w:hAnsi="Times New Roman"/>
                <w:sz w:val="17"/>
              </w:rPr>
              <w:t>50.5</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100.0</w:t>
            </w:r>
          </w:p>
        </w:tc>
        <w:tc>
          <w:tcPr>
            <w:tcW w:type="dxa" w:w="1560"/>
          </w:tcPr>
          <w:p>
            <w:r/>
            <w:r>
              <w:rPr>
                <w:rFonts w:ascii="Times New Roman" w:hAnsi="Times New Roman"/>
                <w:sz w:val="17"/>
              </w:rPr>
              <w:t>54.2</w:t>
            </w:r>
          </w:p>
        </w:tc>
      </w:tr>
      <w:tr>
        <w:tc>
          <w:tcPr>
            <w:tcW w:type="dxa" w:w="1560"/>
          </w:tcPr>
          <w:p>
            <w:r/>
            <w:r>
              <w:rPr>
                <w:rFonts w:ascii="Times New Roman" w:hAnsi="Times New Roman"/>
                <w:sz w:val="17"/>
              </w:rPr>
              <w:t>Enteric fluid administered</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0.0</w:t>
            </w:r>
          </w:p>
        </w:tc>
        <w:tc>
          <w:tcPr>
            <w:tcW w:type="dxa" w:w="1560"/>
          </w:tcPr>
          <w:p>
            <w:r/>
            <w:r>
              <w:rPr>
                <w:rFonts w:ascii="Times New Roman" w:hAnsi="Times New Roman"/>
                <w:sz w:val="17"/>
              </w:rPr>
              <w:t>55.1</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4 (3.4)</w:t>
            </w:r>
          </w:p>
        </w:tc>
        <w:tc>
          <w:tcPr>
            <w:tcW w:type="dxa" w:w="1560"/>
          </w:tcPr>
          <w:p>
            <w:r/>
            <w:r>
              <w:rPr>
                <w:rFonts w:ascii="Times New Roman" w:hAnsi="Times New Roman"/>
                <w:sz w:val="17"/>
              </w:rPr>
              <w:t>2.6</w:t>
            </w:r>
          </w:p>
        </w:tc>
        <w:tc>
          <w:tcPr>
            <w:tcW w:type="dxa" w:w="1560"/>
          </w:tcPr>
          <w:p>
            <w:r/>
            <w:r>
              <w:rPr>
                <w:rFonts w:ascii="Times New Roman" w:hAnsi="Times New Roman"/>
                <w:sz w:val="17"/>
              </w:rPr>
              <w:t>3.8</w:t>
            </w:r>
          </w:p>
        </w:tc>
        <w:tc>
          <w:tcPr>
            <w:tcW w:type="dxa" w:w="1560"/>
          </w:tcPr>
          <w:p>
            <w:r/>
            <w:r>
              <w:rPr>
                <w:rFonts w:ascii="Times New Roman" w:hAnsi="Times New Roman"/>
                <w:sz w:val="17"/>
              </w:rPr>
              <w:t>75.0</w:t>
            </w:r>
          </w:p>
        </w:tc>
        <w:tc>
          <w:tcPr>
            <w:tcW w:type="dxa" w:w="1560"/>
          </w:tcPr>
          <w:p>
            <w:r/>
            <w:r>
              <w:rPr>
                <w:rFonts w:ascii="Times New Roman" w:hAnsi="Times New Roman"/>
                <w:sz w:val="17"/>
              </w:rPr>
              <w:t>53.9</w:t>
            </w:r>
          </w:p>
        </w:tc>
      </w:tr>
      <w:tr>
        <w:tc>
          <w:tcPr>
            <w:tcW w:type="dxa" w:w="1560"/>
          </w:tcPr>
          <w:p>
            <w:r/>
            <w:r>
              <w:rPr>
                <w:rFonts w:ascii="Times New Roman" w:hAnsi="Times New Roman"/>
                <w:sz w:val="17"/>
              </w:rPr>
              <w:t>Whirlpool, swirl or spiral appearance</w:t>
            </w:r>
          </w:p>
        </w:tc>
        <w:tc>
          <w:tcPr>
            <w:tcW w:type="dxa" w:w="1560"/>
          </w:tcPr>
          <w:p>
            <w:r/>
            <w:r>
              <w:rPr>
                <w:rFonts w:ascii="Times New Roman" w:hAnsi="Times New Roman"/>
                <w:sz w:val="17"/>
              </w:rPr>
              <w:t>57 (47.9)</w:t>
            </w:r>
          </w:p>
        </w:tc>
        <w:tc>
          <w:tcPr>
            <w:tcW w:type="dxa" w:w="1560"/>
          </w:tcPr>
          <w:p>
            <w:r/>
            <w:r>
              <w:rPr>
                <w:rFonts w:ascii="Times New Roman" w:hAnsi="Times New Roman"/>
                <w:sz w:val="17"/>
              </w:rPr>
              <w:t>41.0</w:t>
            </w:r>
          </w:p>
        </w:tc>
        <w:tc>
          <w:tcPr>
            <w:tcW w:type="dxa" w:w="1560"/>
          </w:tcPr>
          <w:p>
            <w:r/>
            <w:r>
              <w:rPr>
                <w:rFonts w:ascii="Times New Roman" w:hAnsi="Times New Roman"/>
                <w:sz w:val="17"/>
              </w:rPr>
              <w:t>51.2</w:t>
            </w:r>
          </w:p>
        </w:tc>
        <w:tc>
          <w:tcPr>
            <w:tcW w:type="dxa" w:w="1560"/>
          </w:tcPr>
          <w:p>
            <w:r/>
            <w:r>
              <w:rPr>
                <w:rFonts w:ascii="Times New Roman" w:hAnsi="Times New Roman"/>
                <w:sz w:val="17"/>
              </w:rPr>
              <w:t>98.2</w:t>
            </w:r>
          </w:p>
        </w:tc>
        <w:tc>
          <w:tcPr>
            <w:tcW w:type="dxa" w:w="1560"/>
          </w:tcPr>
          <w:p>
            <w:r/>
            <w:r>
              <w:rPr>
                <w:rFonts w:ascii="Times New Roman" w:hAnsi="Times New Roman"/>
                <w:sz w:val="17"/>
              </w:rPr>
              <w:t>14.5</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26 (21.8)</w:t>
            </w:r>
          </w:p>
        </w:tc>
        <w:tc>
          <w:tcPr>
            <w:tcW w:type="dxa" w:w="1560"/>
          </w:tcPr>
          <w:p>
            <w:r/>
            <w:r>
              <w:rPr>
                <w:rFonts w:ascii="Times New Roman" w:hAnsi="Times New Roman"/>
                <w:sz w:val="17"/>
              </w:rPr>
              <w:t>20.5</w:t>
            </w:r>
          </w:p>
        </w:tc>
        <w:tc>
          <w:tcPr>
            <w:tcW w:type="dxa" w:w="1560"/>
          </w:tcPr>
          <w:p>
            <w:r/>
            <w:r>
              <w:rPr>
                <w:rFonts w:ascii="Times New Roman" w:hAnsi="Times New Roman"/>
                <w:sz w:val="17"/>
              </w:rPr>
              <w:t>22.5</w:t>
            </w:r>
          </w:p>
        </w:tc>
        <w:tc>
          <w:tcPr>
            <w:tcW w:type="dxa" w:w="1560"/>
          </w:tcPr>
          <w:p>
            <w:r/>
            <w:r>
              <w:rPr>
                <w:rFonts w:ascii="Times New Roman" w:hAnsi="Times New Roman"/>
                <w:sz w:val="17"/>
              </w:rPr>
              <w:t>46.2</w:t>
            </w:r>
          </w:p>
        </w:tc>
        <w:tc>
          <w:tcPr>
            <w:tcW w:type="dxa" w:w="1560"/>
          </w:tcPr>
          <w:p>
            <w:r/>
            <w:r>
              <w:rPr>
                <w:rFonts w:ascii="Times New Roman" w:hAnsi="Times New Roman"/>
                <w:sz w:val="17"/>
              </w:rPr>
              <w:t>57.0</w:t>
            </w:r>
          </w:p>
        </w:tc>
      </w:tr>
      <w:tr>
        <w:tc>
          <w:tcPr>
            <w:tcW w:type="dxa" w:w="1560"/>
          </w:tcPr>
          <w:p>
            <w:r/>
            <w:r>
              <w:rPr>
                <w:rFonts w:ascii="Times New Roman" w:hAnsi="Times New Roman"/>
                <w:sz w:val="17"/>
              </w:rPr>
              <w:t>Recorded as abdominal great-vessel study</w:t>
            </w:r>
          </w:p>
        </w:tc>
        <w:tc>
          <w:tcPr>
            <w:tcW w:type="dxa" w:w="1560"/>
          </w:tcPr>
          <w:p>
            <w:r/>
            <w:r>
              <w:rPr>
                <w:rFonts w:ascii="Times New Roman" w:hAnsi="Times New Roman"/>
                <w:sz w:val="17"/>
              </w:rPr>
              <w:t>61 (51.3)</w:t>
            </w:r>
          </w:p>
        </w:tc>
        <w:tc>
          <w:tcPr>
            <w:tcW w:type="dxa" w:w="1560"/>
          </w:tcPr>
          <w:p>
            <w:r/>
            <w:r>
              <w:rPr>
                <w:rFonts w:ascii="Times New Roman" w:hAnsi="Times New Roman"/>
                <w:sz w:val="17"/>
              </w:rPr>
              <w:t>28.2</w:t>
            </w:r>
          </w:p>
        </w:tc>
        <w:tc>
          <w:tcPr>
            <w:tcW w:type="dxa" w:w="1560"/>
          </w:tcPr>
          <w:p>
            <w:r/>
            <w:r>
              <w:rPr>
                <w:rFonts w:ascii="Times New Roman" w:hAnsi="Times New Roman"/>
                <w:sz w:val="17"/>
              </w:rPr>
              <w:t>62.5</w:t>
            </w:r>
          </w:p>
        </w:tc>
        <w:tc>
          <w:tcPr>
            <w:tcW w:type="dxa" w:w="1560"/>
          </w:tcPr>
          <w:p>
            <w:r/>
            <w:r>
              <w:rPr>
                <w:rFonts w:ascii="Times New Roman" w:hAnsi="Times New Roman"/>
                <w:sz w:val="17"/>
              </w:rPr>
              <w:t>70.5</w:t>
            </w:r>
          </w:p>
        </w:tc>
        <w:tc>
          <w:tcPr>
            <w:tcW w:type="dxa" w:w="1560"/>
          </w:tcPr>
          <w:p>
            <w:r/>
            <w:r>
              <w:rPr>
                <w:rFonts w:ascii="Times New Roman" w:hAnsi="Times New Roman"/>
                <w:sz w:val="17"/>
              </w:rPr>
              <w:t>37.9</w:t>
            </w:r>
          </w:p>
        </w:tc>
      </w:tr>
      <w:tr>
        <w:tc>
          <w:tcPr>
            <w:tcW w:type="dxa" w:w="1560"/>
          </w:tcPr>
          <w:p>
            <w:r/>
            <w:r>
              <w:rPr>
                <w:rFonts w:ascii="Times New Roman" w:hAnsi="Times New Roman"/>
                <w:sz w:val="17"/>
              </w:rPr>
              <w:t>Recorded as gastrointestinal ultrasound</w:t>
            </w:r>
          </w:p>
        </w:tc>
        <w:tc>
          <w:tcPr>
            <w:tcW w:type="dxa" w:w="1560"/>
          </w:tcPr>
          <w:p>
            <w:r/>
            <w:r>
              <w:rPr>
                <w:rFonts w:ascii="Times New Roman" w:hAnsi="Times New Roman"/>
                <w:sz w:val="17"/>
              </w:rPr>
              <w:t>68 (57.1)</w:t>
            </w:r>
          </w:p>
        </w:tc>
        <w:tc>
          <w:tcPr>
            <w:tcW w:type="dxa" w:w="1560"/>
          </w:tcPr>
          <w:p>
            <w:r/>
            <w:r>
              <w:rPr>
                <w:rFonts w:ascii="Times New Roman" w:hAnsi="Times New Roman"/>
                <w:sz w:val="17"/>
              </w:rPr>
              <w:t>74.4</w:t>
            </w:r>
          </w:p>
        </w:tc>
        <w:tc>
          <w:tcPr>
            <w:tcW w:type="dxa" w:w="1560"/>
          </w:tcPr>
          <w:p>
            <w:r/>
            <w:r>
              <w:rPr>
                <w:rFonts w:ascii="Times New Roman" w:hAnsi="Times New Roman"/>
                <w:sz w:val="17"/>
              </w:rPr>
              <w:t>48.8</w:t>
            </w:r>
          </w:p>
        </w:tc>
        <w:tc>
          <w:tcPr>
            <w:tcW w:type="dxa" w:w="1560"/>
          </w:tcPr>
          <w:p>
            <w:r/>
            <w:r>
              <w:rPr>
                <w:rFonts w:ascii="Times New Roman" w:hAnsi="Times New Roman"/>
                <w:sz w:val="17"/>
              </w:rPr>
              <w:t>47.1</w:t>
            </w:r>
          </w:p>
        </w:tc>
        <w:tc>
          <w:tcPr>
            <w:tcW w:type="dxa" w:w="1560"/>
          </w:tcPr>
          <w:p>
            <w:r/>
            <w:r>
              <w:rPr>
                <w:rFonts w:ascii="Times New Roman" w:hAnsi="Times New Roman"/>
                <w:sz w:val="17"/>
              </w:rPr>
              <w:t>64.7</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0.0</w:t>
            </w:r>
          </w:p>
        </w:tc>
        <w:tc>
          <w:tcPr>
            <w:tcW w:type="dxa" w:w="1560"/>
          </w:tcPr>
          <w:p>
            <w:r/>
            <w:r>
              <w:rPr>
                <w:rFonts w:ascii="Times New Roman" w:hAnsi="Times New Roman"/>
                <w:sz w:val="17"/>
              </w:rPr>
              <w:t>11.2</w:t>
            </w:r>
          </w:p>
        </w:tc>
        <w:tc>
          <w:tcPr>
            <w:tcW w:type="dxa" w:w="1560"/>
          </w:tcPr>
          <w:p>
            <w:r/>
            <w:r>
              <w:rPr>
                <w:rFonts w:ascii="Times New Roman" w:hAnsi="Times New Roman"/>
                <w:sz w:val="17"/>
              </w:rPr>
              <w:t>22.2</w:t>
            </w:r>
          </w:p>
        </w:tc>
        <w:tc>
          <w:tcPr>
            <w:tcW w:type="dxa" w:w="1560"/>
          </w:tcPr>
          <w:p>
            <w:r/>
            <w:r>
              <w:rPr>
                <w:rFonts w:ascii="Times New Roman" w:hAnsi="Times New Roman"/>
                <w:sz w:val="17"/>
              </w:rPr>
              <w:t>57.3</w:t>
            </w:r>
          </w:p>
        </w:tc>
      </w:tr>
      <w:tr>
        <w:tc>
          <w:tcPr>
            <w:tcW w:type="dxa" w:w="1560"/>
          </w:tcPr>
          <w:p>
            <w:r/>
            <w:r>
              <w:rPr>
                <w:rFonts w:ascii="Times New Roman" w:hAnsi="Times New Roman"/>
                <w:sz w:val="17"/>
              </w:rPr>
              <w:t>Whirlpool sign (adjudicated variable)</w:t>
            </w:r>
          </w:p>
        </w:tc>
        <w:tc>
          <w:tcPr>
            <w:tcW w:type="dxa" w:w="1560"/>
          </w:tcPr>
          <w:p>
            <w:r/>
            <w:r>
              <w:rPr>
                <w:rFonts w:ascii="Times New Roman" w:hAnsi="Times New Roman"/>
                <w:sz w:val="17"/>
              </w:rPr>
              <w:t>59 (49.6)</w:t>
            </w:r>
          </w:p>
        </w:tc>
        <w:tc>
          <w:tcPr>
            <w:tcW w:type="dxa" w:w="1560"/>
          </w:tcPr>
          <w:p>
            <w:r/>
            <w:r>
              <w:rPr>
                <w:rFonts w:ascii="Times New Roman" w:hAnsi="Times New Roman"/>
                <w:sz w:val="17"/>
              </w:rPr>
              <w:t>41.0</w:t>
            </w:r>
          </w:p>
        </w:tc>
        <w:tc>
          <w:tcPr>
            <w:tcW w:type="dxa" w:w="1560"/>
          </w:tcPr>
          <w:p>
            <w:r/>
            <w:r>
              <w:rPr>
                <w:rFonts w:ascii="Times New Roman" w:hAnsi="Times New Roman"/>
                <w:sz w:val="17"/>
              </w:rPr>
              <w:t>53.8</w:t>
            </w:r>
          </w:p>
        </w:tc>
        <w:tc>
          <w:tcPr>
            <w:tcW w:type="dxa" w:w="1560"/>
          </w:tcPr>
          <w:p>
            <w:r/>
            <w:r>
              <w:rPr>
                <w:rFonts w:ascii="Times New Roman" w:hAnsi="Times New Roman"/>
                <w:sz w:val="17"/>
              </w:rPr>
              <w:t>100.0</w:t>
            </w:r>
          </w:p>
        </w:tc>
        <w:tc>
          <w:tcPr>
            <w:tcW w:type="dxa" w:w="1560"/>
          </w:tcPr>
          <w:p>
            <w:r/>
            <w:r>
              <w:rPr>
                <w:rFonts w:ascii="Times New Roman" w:hAnsi="Times New Roman"/>
                <w:sz w:val="17"/>
              </w:rPr>
              <w:t>10.0</w:t>
            </w:r>
          </w:p>
        </w:tc>
      </w:tr>
    </w:tbl>
    <w:p>
      <w:pPr>
        <w:spacing w:after="160"/>
      </w:pPr>
      <w:r>
        <w:rPr>
          <w:i/>
          <w:sz w:val="17"/>
        </w:rPr>
        <w:t>Content was coded from the findings and conclusion text of each index report by pre-specified patterns (Online Resource 1). This is an audit of what was recorded, and is a lower bound on what was performed: an element assessed but not documented cannot be distinguished here from one never assessed. The whirlpool sign appears twice because the adjudicated study variable and the text-pattern variable differ slightly (59 vs 57 reports); both are shown for transparency. Examination-type categories are not mutually exclusive.</w:t>
      </w:r>
    </w:p>
    <w:p>
      <w:pPr>
        <w:jc w:val="center"/>
      </w:pPr>
      <w:r>
        <w:drawing>
          <wp:inline xmlns:a="http://schemas.openxmlformats.org/drawingml/2006/main" xmlns:pic="http://schemas.openxmlformats.org/drawingml/2006/picture">
            <wp:extent cx="6035040" cy="2319910"/>
            <wp:docPr id="3" name="Picture 3"/>
            <wp:cNvGraphicFramePr>
              <a:graphicFrameLocks noChangeAspect="1"/>
            </wp:cNvGraphicFramePr>
            <a:graphic>
              <a:graphicData uri="http://schemas.openxmlformats.org/drawingml/2006/picture">
                <pic:pic>
                  <pic:nvPicPr>
                    <pic:cNvPr id="0" name="Figure4_us_audit.png"/>
                    <pic:cNvPicPr/>
                  </pic:nvPicPr>
                  <pic:blipFill>
                    <a:blip r:embed="rId11"/>
                    <a:stretch>
                      <a:fillRect/>
                    </a:stretch>
                  </pic:blipFill>
                  <pic:spPr>
                    <a:xfrm>
                      <a:off x="0" y="0"/>
                      <a:ext cx="6035040" cy="2319910"/>
                    </a:xfrm>
                    <a:prstGeom prst="rect"/>
                  </pic:spPr>
                </pic:pic>
              </a:graphicData>
            </a:graphic>
          </wp:inline>
        </w:drawing>
      </w:r>
    </w:p>
    <w:p>
      <w:pPr>
        <w:pStyle w:val="Heading2"/>
      </w:pPr>
      <w:r>
        <w:t>Detection changed over time, and the change tracked examination content</w:t>
      </w:r>
    </w:p>
    <w:p>
      <w:pPr>
        <w:spacing w:after="160"/>
      </w:pPr>
      <w:r>
        <w:t>Ultrasound detection was 41.0% (16/39) in 2012–2018 and 61.3% (49/80) in 2019–2026; CT 47.0% and 66.7%; UGI 77.1% and 82.3% (Table 4). For ultrasound this change was accounted for by a shift in what the examination was: studies recorded as abdominal great-vessel ultrasound rose from 28.2% to 62.5% (Fisher p&lt;0.001) while gastrointestinal ultrasound fell from 74.4% to 48.8%. Later era was associated with detection (odds ratio 2.27 [1.04–4.96], p=0.039); adding the vessel-focused indicator reduced the era term to 1.56 (0.67–3.62, p=0.30) while the indicator carried an odds ratio of 3.46 (1.56–7.67, p=0.002), and detection with a vessel-focused study was similar in both eras (72.7% and 70.0%) against 28.6% and 46.7% without it. The improvement is better described as a change in what was done than in when it was done.</w:t>
      </w:r>
    </w:p>
    <w:p>
      <w:pPr>
        <w:spacing w:after="160"/>
      </w:pPr>
      <w:r>
        <w:t>For CT, contrast-enhanced studies rose from 12.1% to 24.8% and enhancement was strongly associated with detection (84.6% vs 47.4%; p&lt;0.001) — confounded by indication — and adjusting for it attenuated the era term only partially (2.26 to 1.98). For the UGI series, whose technique did not change materially, there was no era effect (1.38 [0.75–2.56], p=0.30).</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Modality</w:t>
            </w:r>
          </w:p>
        </w:tc>
        <w:tc>
          <w:tcPr>
            <w:tcW w:type="dxa" w:w="1560"/>
          </w:tcPr>
          <w:p>
            <w:r/>
            <w:r>
              <w:rPr>
                <w:rFonts w:ascii="Times New Roman" w:hAnsi="Times New Roman"/>
                <w:b/>
                <w:sz w:val="17"/>
              </w:rPr>
              <w:t>Detection 2012–2018</w:t>
            </w:r>
          </w:p>
        </w:tc>
        <w:tc>
          <w:tcPr>
            <w:tcW w:type="dxa" w:w="1560"/>
          </w:tcPr>
          <w:p>
            <w:r/>
            <w:r>
              <w:rPr>
                <w:rFonts w:ascii="Times New Roman" w:hAnsi="Times New Roman"/>
                <w:b/>
                <w:sz w:val="17"/>
              </w:rPr>
              <w:t>Detection 2019–2026</w:t>
            </w:r>
          </w:p>
        </w:tc>
        <w:tc>
          <w:tcPr>
            <w:tcW w:type="dxa" w:w="1560"/>
          </w:tcPr>
          <w:p>
            <w:r/>
            <w:r>
              <w:rPr>
                <w:rFonts w:ascii="Times New Roman" w:hAnsi="Times New Roman"/>
                <w:b/>
                <w:sz w:val="17"/>
              </w:rPr>
              <w:t>Era OR (95% CI)</w:t>
            </w:r>
          </w:p>
        </w:tc>
        <w:tc>
          <w:tcPr>
            <w:tcW w:type="dxa" w:w="1560"/>
          </w:tcPr>
          <w:p>
            <w:r/>
            <w:r>
              <w:rPr>
                <w:rFonts w:ascii="Times New Roman" w:hAnsi="Times New Roman"/>
                <w:b/>
                <w:sz w:val="17"/>
              </w:rPr>
              <w:t>Era OR after adjustment for examination content</w:t>
            </w:r>
          </w:p>
        </w:tc>
        <w:tc>
          <w:tcPr>
            <w:tcW w:type="dxa" w:w="1560"/>
          </w:tcPr>
          <w:p>
            <w:r/>
            <w:r>
              <w:rPr>
                <w:rFonts w:ascii="Times New Roman" w:hAnsi="Times New Roman"/>
                <w:b/>
                <w:sz w:val="17"/>
              </w:rPr>
              <w:t>Content variable OR (95% CI)</w:t>
            </w:r>
          </w:p>
        </w:tc>
      </w:tr>
      <w:tr>
        <w:tc>
          <w:tcPr>
            <w:tcW w:type="dxa" w:w="1560"/>
          </w:tcPr>
          <w:p>
            <w:r/>
            <w:r>
              <w:rPr>
                <w:rFonts w:ascii="Times New Roman" w:hAnsi="Times New Roman"/>
                <w:sz w:val="17"/>
              </w:rPr>
              <w:t>UGI contrast series</w:t>
            </w:r>
          </w:p>
        </w:tc>
        <w:tc>
          <w:tcPr>
            <w:tcW w:type="dxa" w:w="1560"/>
          </w:tcPr>
          <w:p>
            <w:r/>
            <w:r>
              <w:rPr>
                <w:rFonts w:ascii="Times New Roman" w:hAnsi="Times New Roman"/>
                <w:sz w:val="17"/>
              </w:rPr>
              <w:t>158/205 (77.1%)</w:t>
            </w:r>
          </w:p>
        </w:tc>
        <w:tc>
          <w:tcPr>
            <w:tcW w:type="dxa" w:w="1560"/>
          </w:tcPr>
          <w:p>
            <w:r/>
            <w:r>
              <w:rPr>
                <w:rFonts w:ascii="Times New Roman" w:hAnsi="Times New Roman"/>
                <w:sz w:val="17"/>
              </w:rPr>
              <w:t>79/96 (82.3%)</w:t>
            </w:r>
          </w:p>
        </w:tc>
        <w:tc>
          <w:tcPr>
            <w:tcW w:type="dxa" w:w="1560"/>
          </w:tcPr>
          <w:p>
            <w:r/>
            <w:r>
              <w:rPr>
                <w:rFonts w:ascii="Times New Roman" w:hAnsi="Times New Roman"/>
                <w:sz w:val="17"/>
              </w:rPr>
              <w:t>1.38 (0.75–2.56) (p=0.304)</w:t>
            </w:r>
          </w:p>
        </w:tc>
        <w:tc>
          <w:tcPr>
            <w:tcW w:type="dxa" w:w="1560"/>
          </w:tcPr>
          <w:p>
            <w:r/>
            <w:r>
              <w:rPr>
                <w:rFonts w:ascii="Times New Roman" w:hAnsi="Times New Roman"/>
                <w:sz w:val="17"/>
              </w:rPr>
              <w:t>Not applicable (technique unchanged)</w:t>
            </w:r>
          </w:p>
        </w:tc>
        <w:tc>
          <w:tcPr>
            <w:tcW w:type="dxa" w:w="1560"/>
          </w:tcPr>
          <w:p>
            <w:r/>
            <w:r>
              <w:rPr>
                <w:rFonts w:ascii="Times New Roman" w:hAnsi="Times New Roman"/>
                <w:sz w:val="17"/>
              </w:rPr>
              <w:t>–</w:t>
            </w:r>
          </w:p>
        </w:tc>
      </w:tr>
      <w:tr>
        <w:tc>
          <w:tcPr>
            <w:tcW w:type="dxa" w:w="1560"/>
          </w:tcPr>
          <w:p>
            <w:r/>
            <w:r>
              <w:rPr>
                <w:rFonts w:ascii="Times New Roman" w:hAnsi="Times New Roman"/>
                <w:sz w:val="17"/>
              </w:rPr>
              <w:t>Abdominal CT</w:t>
            </w:r>
          </w:p>
        </w:tc>
        <w:tc>
          <w:tcPr>
            <w:tcW w:type="dxa" w:w="1560"/>
          </w:tcPr>
          <w:p>
            <w:r/>
            <w:r>
              <w:rPr>
                <w:rFonts w:ascii="Times New Roman" w:hAnsi="Times New Roman"/>
                <w:sz w:val="17"/>
              </w:rPr>
              <w:t>101/215 (47.0%)</w:t>
            </w:r>
          </w:p>
        </w:tc>
        <w:tc>
          <w:tcPr>
            <w:tcW w:type="dxa" w:w="1560"/>
          </w:tcPr>
          <w:p>
            <w:r/>
            <w:r>
              <w:rPr>
                <w:rFonts w:ascii="Times New Roman" w:hAnsi="Times New Roman"/>
                <w:sz w:val="17"/>
              </w:rPr>
              <w:t>70/105 (66.7%)</w:t>
            </w:r>
          </w:p>
        </w:tc>
        <w:tc>
          <w:tcPr>
            <w:tcW w:type="dxa" w:w="1560"/>
          </w:tcPr>
          <w:p>
            <w:r/>
            <w:r>
              <w:rPr>
                <w:rFonts w:ascii="Times New Roman" w:hAnsi="Times New Roman"/>
                <w:sz w:val="17"/>
              </w:rPr>
              <w:t>2.26 (1.39–3.67) (p=0.001)</w:t>
            </w:r>
          </w:p>
        </w:tc>
        <w:tc>
          <w:tcPr>
            <w:tcW w:type="dxa" w:w="1560"/>
          </w:tcPr>
          <w:p>
            <w:r/>
            <w:r>
              <w:rPr>
                <w:rFonts w:ascii="Times New Roman" w:hAnsi="Times New Roman"/>
                <w:sz w:val="17"/>
              </w:rPr>
              <w:t>1.98 (1.20–3.28) (p=0.008)</w:t>
            </w:r>
          </w:p>
        </w:tc>
        <w:tc>
          <w:tcPr>
            <w:tcW w:type="dxa" w:w="1560"/>
          </w:tcPr>
          <w:p>
            <w:r/>
            <w:r>
              <w:rPr>
                <w:rFonts w:ascii="Times New Roman" w:hAnsi="Times New Roman"/>
                <w:sz w:val="17"/>
              </w:rPr>
              <w:t>Contrast enhancement 5.53 (2.49–12.27) (p=&lt;0.001)</w:t>
            </w:r>
          </w:p>
        </w:tc>
      </w:tr>
      <w:tr>
        <w:tc>
          <w:tcPr>
            <w:tcW w:type="dxa" w:w="1560"/>
          </w:tcPr>
          <w:p>
            <w:r/>
            <w:r>
              <w:rPr>
                <w:rFonts w:ascii="Times New Roman" w:hAnsi="Times New Roman"/>
                <w:sz w:val="17"/>
              </w:rPr>
              <w:t>Gastrointestinal ultrasound</w:t>
            </w:r>
          </w:p>
        </w:tc>
        <w:tc>
          <w:tcPr>
            <w:tcW w:type="dxa" w:w="1560"/>
          </w:tcPr>
          <w:p>
            <w:r/>
            <w:r>
              <w:rPr>
                <w:rFonts w:ascii="Times New Roman" w:hAnsi="Times New Roman"/>
                <w:sz w:val="17"/>
              </w:rPr>
              <w:t>16/39 (41.0%)</w:t>
            </w:r>
          </w:p>
        </w:tc>
        <w:tc>
          <w:tcPr>
            <w:tcW w:type="dxa" w:w="1560"/>
          </w:tcPr>
          <w:p>
            <w:r/>
            <w:r>
              <w:rPr>
                <w:rFonts w:ascii="Times New Roman" w:hAnsi="Times New Roman"/>
                <w:sz w:val="17"/>
              </w:rPr>
              <w:t>49/80 (61.3%)</w:t>
            </w:r>
          </w:p>
        </w:tc>
        <w:tc>
          <w:tcPr>
            <w:tcW w:type="dxa" w:w="1560"/>
          </w:tcPr>
          <w:p>
            <w:r/>
            <w:r>
              <w:rPr>
                <w:rFonts w:ascii="Times New Roman" w:hAnsi="Times New Roman"/>
                <w:sz w:val="17"/>
              </w:rPr>
              <w:t>2.27 (1.04–4.96) (p=0.039)</w:t>
            </w:r>
          </w:p>
        </w:tc>
        <w:tc>
          <w:tcPr>
            <w:tcW w:type="dxa" w:w="1560"/>
          </w:tcPr>
          <w:p>
            <w:r/>
            <w:r>
              <w:rPr>
                <w:rFonts w:ascii="Times New Roman" w:hAnsi="Times New Roman"/>
                <w:sz w:val="17"/>
              </w:rPr>
              <w:t>1.56 (0.67–3.62) (p=0.303)</w:t>
            </w:r>
          </w:p>
        </w:tc>
        <w:tc>
          <w:tcPr>
            <w:tcW w:type="dxa" w:w="1560"/>
          </w:tcPr>
          <w:p>
            <w:r/>
            <w:r>
              <w:rPr>
                <w:rFonts w:ascii="Times New Roman" w:hAnsi="Times New Roman"/>
                <w:sz w:val="17"/>
              </w:rPr>
              <w:t>Vessel-focused examination 3.46 (1.56–7.67) (p=0.002)</w:t>
            </w:r>
          </w:p>
        </w:tc>
      </w:tr>
    </w:tbl>
    <w:p>
      <w:pPr>
        <w:spacing w:after="160"/>
      </w:pPr>
      <w:r>
        <w:rPr>
          <w:i/>
          <w:sz w:val="17"/>
        </w:rPr>
        <w:t>Modality-specific logistic models. For ultrasound the content variable is whether the examination was recorded as an abdominal great-vessel study rather than as gastrointestinal ultrasound; for CT it is intravenous contrast enhancement. Attenuation of the era odds ratio after the content variable is added indicates that the temporal change operated through what the examination was rather than through calendar time. The content variables were not randomly assigned and are themselves confounded by indication; these models are explanatory rather than causal.</w:t>
      </w:r>
    </w:p>
    <w:p>
      <w:pPr>
        <w:pStyle w:val="Heading2"/>
      </w:pPr>
      <w:r>
        <w:t>The selected subgroup, and the populations this cohort does not describe</w:t>
      </w:r>
    </w:p>
    <w:p>
      <w:pPr>
        <w:spacing w:after="160"/>
      </w:pPr>
      <w:r>
        <w:t>Fifty-nine children underwent all three modalities: not a random sample but a subgroup in whom the diagnosis had remained uncertain, more severely and more recently affected than the rest (96.6% volvulus vs 86.6%; 83.1% neonates vs 65.5%). The UGI series was positive in 76.3%, ultrasound in 52.5% and CT in 47.5% (Cochran's Q p=0.001), unchanged when restricted to examinations within 48 h or 24 h of each other (Online Resource 2). Only 62 children (13.3%) had malrotation without volvulus, of whom 6 underwent ultrasound, so the cohort says very little about the children in whom the ultrasound-first debate is most active — older children with intermittent vomiting, incidental or non-volvulus malrotation, and stable outpatients — and we make no claims about them.</w:t>
      </w:r>
    </w:p>
    <w:p>
      <w:pPr>
        <w:pStyle w:val="Heading1"/>
      </w:pPr>
      <w:r>
        <w:t>Discussion</w:t>
      </w:r>
    </w:p>
    <w:p>
      <w:pPr>
        <w:spacing w:after="160"/>
      </w:pPr>
      <w:r>
        <w:t>In 13.5 years of routine practice, ultrasound reports for children who proved to have intestinal malrotation almost never contained the findings on which modern ultrasound accuracy depends. D3 and the duodenojejunal junction appeared in none of 119 examinations, the mesenteric-vessel relationship in 8.4%, enteric fluid in one. What the reports did contain was the whirlpool sign, in about half, and detection followed it almost perfectly. Ultrasound here functioned as a test for midgut volvulus: a child whose midgut was not actively twisted when scanned was unlikely to be identified.</w:t>
      </w:r>
    </w:p>
    <w:p>
      <w:pPr>
        <w:spacing w:after="160"/>
      </w:pPr>
      <w:r>
        <w:t>This reframes the most-cited number in our data. Ultrasound named malrotation in 54.6% of surgically confirmed children who underwent it, against published sensitivities of 93–97% [8, 9, 12, 19]. It would be wrong to read that as evidence that ultrasound performs poorly: the published figures came from examinations that assessed D3 and the duodenojejunal junction, often with enteric fluid, by readers alert to the diagnosis [12, 18, 20, 21]; ours, on the evidence of their own reports, did not. The 2021 systematic review anticipated this, finding better performance where the mesenteric vessels and enteric fluid were used [8].</w:t>
      </w:r>
    </w:p>
    <w:p>
      <w:pPr>
        <w:spacing w:after="160"/>
      </w:pPr>
      <w:r>
        <w:t>The temporal analysis points the same way. Detection improved from 41% to 61%, but not as a property of calendar time: once the shift toward mesenteric-vessel-focused examination was taken into account the era effect fell to a non-significant 1.56, examination type carried an odds ratio of 3.46, and detection with a vessel-focused study was about 70% in both eras. The department improved because the examination changed. The remaining gap to 93–97% is then plausibly attributable to the elements that still never appeared in the reports — D3, the duodenojejunal junction and enteric fluid [20, 21] — although whether adding them would close it is untestable here, and the counter-argument that D3 position alone cannot support a confident diagnosis deserves weight [22].</w:t>
      </w:r>
    </w:p>
    <w:p>
      <w:pPr>
        <w:spacing w:after="160"/>
      </w:pPr>
      <w:r>
        <w:t>Three features of the design make the between-modality differences uninterpretable as accuracy, and we regard them as decisive rather than as caveats. The reference standard is not independent of the index tests: the surgeon knew the preoperative imaging, and a positive UGI series often precipitated the operation that confirmed the diagnosis — an incorporation bias asymmetrical between modalities. Pathway position differed, the UGI series being the last examination before operation in 75% of children who received it. And the modalities were used in different children for different reasons (Table 1), which no adjustment can undo.</w:t>
      </w:r>
    </w:p>
    <w:p>
      <w:pPr>
        <w:spacing w:after="160"/>
      </w:pPr>
      <w:r>
        <w:t>This study does not rank modalities and does not resolve the ultrasound-first debate; it measures the distance between performance as established in the literature and as delivered by a real department's reports. Departments adopting an ultrasound-first pathway on the strength of sensitivities of 93–97% should first establish that their own examinations resemble those that produced the figures. A structured malrotation ultrasound report requiring explicit statements about D3, the duodenojejunal junction, the vessel relationship and study adequacy would make such a deficit visible prospectively; where it cannot be delivered, a negative ultrasound should not exclude malrotation in a child with persistent suspicion.</w:t>
      </w:r>
    </w:p>
    <w:p>
      <w:pPr>
        <w:pStyle w:val="Heading2"/>
      </w:pPr>
      <w:r>
        <w:t>Limitations</w:t>
      </w:r>
    </w:p>
    <w:p>
      <w:pPr>
        <w:spacing w:after="160"/>
      </w:pPr>
      <w:r>
        <w:t>This is not a diagnostic accuracy study: the cohort was assembled on surgically confirmed disease, so specificity and predictive values cannot be estimated and the detection rates do not transfer to children investigated for suspected malrotation, in whom contemporary studies report far higher ultrasound performance [8, 12, 19]. The cohort is heavily skewed toward severe neonatal disease and says little about older children with intermittent symptoms, incidental or non-volvulus malrotation, or stable outpatients. Modality choice and the decision to operate were clinically entangled, and the 55 children without an index test were excluded from the denominators, an informative missingness of unknown direction.</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We regard this as the boundary of the question rather than a defect in answering it, since the report is what the clinician acts on. Validation rested on one adjudicator; comparisons were not adjusted for multiplicity; and radiation dose metrics could not be captured. Whether this single centre's deficit generalises is unknown — the question most worth asking next.</w:t>
      </w:r>
    </w:p>
    <w:p>
      <w:pPr>
        <w:pStyle w:val="Heading1"/>
      </w:pPr>
      <w:r>
        <w:t>Conclusion</w:t>
      </w:r>
    </w:p>
    <w:p>
      <w:pPr>
        <w:spacing w:after="160"/>
      </w:pPr>
      <w:r>
        <w:t>Routine ultrasound reports for children with surgically confirmed intestinal malrotation essentially never documented the duodenal landmarks that underpin contemporary ultrasound accuracy, and detection tracked the whirlpool sign almost perfectly: ultrasound here was, in practice, a test for midgut volvulus rather than for malrotation, and its improvement over time followed a shift in examination type rather than the passage of time. These report-level detection rates establish no sensitivity, specificity or ranking of the modalities and should not be used to argue against ultrasound-first pathways. They argue instead that a department's own technique and reporting content determine whether published performance is achievable locally — measurable, and correctable, by audit.</w:t>
      </w:r>
    </w:p>
    <w:p>
      <w:pPr>
        <w:pStyle w:val="Heading1"/>
      </w:pPr>
      <w:r>
        <w:t>Abbreviations</w:t>
      </w:r>
    </w:p>
    <w:p>
      <w:pPr>
        <w:spacing w:after="160"/>
      </w:pPr>
      <w:r>
        <w:t>CI: Confidence interval; CTDIvol: Volume CT dose index;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and the per-modality distribution of positive, negative and tentative labels.</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and detection of a volvulus-specific sign among children with confirmed volvulus.</w:t>
      </w:r>
    </w:p>
    <w:p>
      <w:pPr>
        <w:spacing w:after="160"/>
      </w:pPr>
      <w:r>
        <w:rPr>
          <w:b/>
        </w:rPr>
        <w:t>Online Resource 3.</w:t>
      </w:r>
      <w:r>
        <w:t xml:space="preserve"> Content audit of the 320 CT and 301 upper gastrointestinal series index reports,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Assembly of the surgically confirmed malrotation cohort and availability of each preoperative index test. Every one of the 55 children who received none of the three index examinations nonetheless had other preoperative imaging;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do not constitute sensitivity.</w:t>
      </w:r>
    </w:p>
    <w:p>
      <w:pPr>
        <w:spacing w:after="160"/>
      </w:pPr>
      <w:r>
        <w:rPr>
          <w:b/>
        </w:rPr>
        <w:t>Fig. 3 Ultrasound report content and detection conditional on that content.</w:t>
      </w:r>
      <w:r>
        <w:t xml:space="preserve"> </w:t>
      </w:r>
      <w:r>
        <w:rPr>
          <w:b/>
        </w:rPr>
        <w:t>a</w:t>
      </w:r>
      <w:r>
        <w:t xml:space="preserve"> Documented content of the 119 ultrasound index reports. </w:t>
      </w:r>
      <w:r>
        <w:rPr>
          <w:b/>
        </w:rPr>
        <w:t>b</w:t>
      </w:r>
      <w:r>
        <w:t xml:space="preserve"> Report-level detection conditional on that content. No report documented the third portion of the duodenum or the duodenojejunal junction; detection was 100% when a whirlpool sign was recorded and 10% when it was not.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