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5 September 2026</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410 children with surgically confirmed malrotation — coding each examination both for whether it named the diagnosis and for the technical elements it documented. The central finding is that </w:t>
      </w:r>
      <w:r>
        <w:rPr>
          <w:b/>
        </w:rPr>
        <w:t>only three of 119 ultrasound examinations (2.5%) documented D3 or the duodenojejunal junction</w:t>
      </w:r>
      <w:r>
        <w:t>; the superior mesenteric artery–vein relationship was addressed in 10.1% and enteric fluid administration recorded twice, whereas a whirlpool sign was reported in half. Detection tracked that content closely: only 7 of the 61 examinations without a reported whirlpool named the diagnosis, and a whirlpool was itself reported in only 58 of the 113 children whose operation confirmed midgut volvulus. In routine practice, ultrasound for malrotation functioned as a test for midgut volvulus rather than for the rotational anomaly itself — and an incomplete one.</w:t>
      </w:r>
    </w:p>
    <w:p>
      <w:pPr>
        <w:spacing w:after="16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department's own account matches: it reports no change of equipment, staff or protocol over the period, and attributes the shift from about 2021 to growing awareness of the diagnosis — awareness that attached to the whirlpool sign rather than to duodenal anatomy, which is why detection rose while duodenal documentation did not.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Jun Yang, MD</w:t>
      </w:r>
    </w:p>
    <w:p>
      <w:pPr>
        <w:spacing w:after="160"/>
      </w:pPr>
      <w:r>
        <w:t>On behalf of all authors (Jun Shu,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