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Guanghua Zhang</w:t>
      </w:r>
      <w:r>
        <w:rPr>
          <w:vertAlign w:val="superscript"/>
        </w:rPr>
        <w:t>a</w:t>
      </w:r>
      <w:r>
        <w:t>, Fei Peng</w:t>
      </w:r>
      <w:r>
        <w:rPr>
          <w:vertAlign w:val="superscript"/>
        </w:rPr>
        <w:t>a</w:t>
      </w:r>
      <w:r>
        <w:t>, Kai Zheng</w:t>
      </w:r>
      <w:r>
        <w:rPr>
          <w:vertAlign w:val="superscript"/>
        </w:rPr>
        <w:t>a</w:t>
      </w:r>
      <w:r>
        <w:t>, Hongxi Guo</w:t>
      </w:r>
      <w:r>
        <w:rPr>
          <w:vertAlign w:val="superscript"/>
        </w:rPr>
        <w:t>a</w:t>
      </w:r>
      <w:r>
        <w:t>, Haiyan Lei</w:t>
      </w:r>
      <w:r>
        <w:rPr>
          <w:vertAlign w:val="superscript"/>
        </w:rPr>
        <w:t>a</w:t>
      </w:r>
      <w:r>
        <w:t>, Haibin Wang</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on February 9, 2026,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