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pStyle w:val="Heading1"/>
      </w:pPr>
      <w:r>
        <w:t>Abstract</w:t>
      </w:r>
    </w:p>
    <w:p>
      <w:pPr>
        <w:spacing w:after="160" w:line="480" w:lineRule="auto"/>
      </w:pPr>
      <w:r>
        <w:rPr>
          <w:b/>
        </w:rPr>
        <w:t>Objectives:</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line="480" w:lineRule="auto"/>
      </w:pPr>
      <w:r>
        <w:rPr>
          <w:b/>
        </w:rPr>
        <w:t>Conclusions:</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[1,2]. Bilious vomiting in a neonate is a surgical emergency until malrotation with volvulus has been excluded, although older children may present atypically and be diagnosed late [3,4].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computed tomography (CT) is not a dedicated test, and the mesenteric swirl it may show is neither reliably present nor specific in children [9,10].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[12,13,15–17]. The same literature describes these elements as demanding and not universally achievable, and D3 position alone as insufficient for diagnosis [18]. The 2020 American College of Radiology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Materials and Methods</w:t>
      </w:r>
    </w:p>
    <w:p>
      <w:pPr>
        <w:pStyle w:val="Heading2"/>
      </w:pPr>
      <w:r>
        <w:t>Design, terminology and estimable quantities</w:t>
      </w:r>
    </w:p>
    <w:p>
      <w:pPr>
        <w:spacing w:after="160" w:line="480" w:lineRule="auto"/>
      </w:pPr>
      <w:r>
        <w:t xml:space="preserve">This was a retrospective, single-center, case-only report audit. The institutional review board approved the study and waived informed consent because of the retrospective, de-identified design (details on the title page). Reporting follows the Strengthening the Reporting of Observational Studies in Epidemiology guideline [21]; the Standards for Reporting of Diagnostic Accuracy guideline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confidence interval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CIs. Between-modality comparison used a generalized estimating equation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generalized estimating equation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elements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sensitivities of 93–97% for malrotation and 97% for volvulus [13], and a meta-analysis found a pooled sensitivity of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[16,17], the most accurate sign for malrotation in the 2025 series [13]; the duodenojejunal junction [12,15];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American College of Radiology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[11,13,14].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Sex was taken as recorded in the medical record, and sex-specific differences in documentation were not examined. Radiation dose could not be captured. This is one audit cycle at one center, so whether the findings generalize, whether a structured report would raise documentation and whether documentation would raise detection are unknown.</w:t>
      </w:r>
    </w:p>
    <w:p>
      <w:pPr>
        <w:pStyle w:val="Heading1"/>
      </w:pPr>
      <w:r>
        <w:t>Conclusion</w:t>
      </w:r>
    </w:p>
    <w:p>
      <w:pPr>
        <w:spacing w:after="160" w:line="480" w:lineRule="auto"/>
      </w:pPr>
      <w:r>
        <w:t>In routine ultrasound reports for children with surgically confirmed intestinal malrotation, the duodenal landmarks to which published performance is attributed were rarely documented, and positive reports almost always described a whirlpool. These are report-level detection rates, not sensitivities, and they do not argue against ultrasound-first pathways. Documentation can be audited without a reference standard, and the audit criteria in Supplement 4 provide a minimum reporting dataset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w:t>
      </w:r>
      <w:r>
        <w:rPr>
          <w:rFonts w:ascii="Courier New" w:hAnsi="Courier New"/>
        </w:rPr>
        <w:t>Supplement_1_classifier.py</w:t>
      </w:r>
      <w:r>
        <w:t>),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Competing interests:</w:t>
      </w:r>
      <w:r>
        <w:t xml:space="preserve"> The authors declare that they have no competing interests.</w:t>
      </w:r>
    </w:p>
    <w:p>
      <w:pPr>
        <w:spacing w:after="160" w:line="480" w:lineRule="auto"/>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pStyle w:val="Heading1"/>
      </w:pPr>
      <w:r>
        <w:t>Declaration of generative AI and AI-assisted technologies in the manuscript preparation process</w:t>
      </w:r>
    </w:p>
    <w:p>
      <w:pPr>
        <w:spacing w:after="160" w:line="480" w:lineRule="auto"/>
      </w:pPr>
      <w:r>
        <w:t>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p>
      <w:pPr>
        <w:pStyle w:val="Heading1"/>
      </w:pPr>
      <w:r>
        <w:t>References</w:t>
      </w:r>
    </w:p>
    <w:p>
      <w:pPr>
        <w:spacing w:after="60" w:line="480" w:lineRule="auto"/>
      </w:pPr>
      <w:r>
        <w:rPr>
          <w:sz w:val="20"/>
        </w:rPr>
        <w:t>[1] M.B. Marine, B. Karmazyn, Imaging of malrotation in the neonate, Semin. Ultrasound CT MR 35 (2014) 555 – 570. https://doi.org/10.1053/j.sult.2014.08.004</w:t>
      </w:r>
    </w:p>
    <w:p>
      <w:pPr>
        <w:spacing w:after="60" w:line="480" w:lineRule="auto"/>
      </w:pPr>
      <w:r>
        <w:rPr>
          <w:sz w:val="20"/>
        </w:rPr>
        <w:t>[2] S.A. Martinez, S.C. Fligor, S. Tsikis, et al., IMPOWER: a national patient-generated registry for intestinal malrotation exploring diagnosis, treatment, and surgical outcomes, Orphanet J. Rare Dis. 18 (2023) 113. https://doi.org/10.1186/s13023-023-02722-5</w:t>
      </w:r>
    </w:p>
    <w:p>
      <w:pPr>
        <w:spacing w:after="60" w:line="480" w:lineRule="auto"/>
      </w:pPr>
      <w:r>
        <w:rPr>
          <w:sz w:val="20"/>
        </w:rPr>
        <w:t>[3] X. Yang, W. Wang, K. Wang, et al., Identification and treatment of intestinal malrotation with midgut volvulus in childhood: a multicenter retrospective study, Front. Pediatr. 12 (2024) 1390856. https://doi.org/10.3389/fped.2024.1390856</w:t>
      </w:r>
    </w:p>
    <w:p>
      <w:pPr>
        <w:spacing w:after="60" w:line="480" w:lineRule="auto"/>
      </w:pPr>
      <w:r>
        <w:rPr>
          <w:sz w:val="20"/>
        </w:rPr>
        <w:t>[4] H. Menghwani, R. Piplani, E. Yhoshu, B. Jagdish, B.S. Sree, Delayed presentation of malrotation: case series and literature review, J. Indian Assoc. Pediatr. Surg. 28 (2023) 271 – 277. https://doi.org/10.4103/jiaps.jiaps_2_23</w:t>
      </w:r>
    </w:p>
    <w:p>
      <w:pPr>
        <w:spacing w:after="60" w:line="480" w:lineRule="auto"/>
      </w:pPr>
      <w:r>
        <w:rPr>
          <w:sz w:val="20"/>
        </w:rPr>
        <w:t>[5] G. Mattioli, E. Gallo, M.C.Y. Wong, et al., Diagnostic accuracy of upper gastrointestinal series in children with suspected intestinal malrotation, Updates Surg. 76 (2024) 201 – 208. https://doi.org/10.1007/s13304-023-01559-8</w:t>
      </w:r>
    </w:p>
    <w:p>
      <w:pPr>
        <w:spacing w:after="60" w:line="480" w:lineRule="auto"/>
      </w:pPr>
      <w:r>
        <w:rPr>
          <w:sz w:val="20"/>
        </w:rPr>
        <w:t>[6] A.W. Sizemore, K.Z. Rabbani, A. Ladd, K.E. Applegate, Diagnostic performance of the upper gastrointestinal series in the evaluation of children with clinically suspected malrotation, Pediatr. Radiol. 38 (2008) 518 – 528. https://doi.org/10.1007/s00247-008-0762-8</w:t>
      </w:r>
    </w:p>
    <w:p>
      <w:pPr>
        <w:spacing w:after="60" w:line="480" w:lineRule="auto"/>
      </w:pPr>
      <w:r>
        <w:rPr>
          <w:sz w:val="20"/>
        </w:rPr>
        <w:t>[7] K.E. Applegate, J.M. Anderson, E.C. Klatte, Intestinal malrotation in children: a problem-solving approach to the upper gastrointestinal series, Radiographics 26 (2006) 1485 – 1500. https://doi.org/10.1148/rg.265055167</w:t>
      </w:r>
    </w:p>
    <w:p>
      <w:pPr>
        <w:spacing w:after="60" w:line="480" w:lineRule="auto"/>
      </w:pPr>
      <w:r>
        <w:rPr>
          <w:sz w:val="20"/>
        </w:rPr>
        <w:t>[8] A. Smitthimedhin, A. Suarez, R.L. Webb, H.J. Otero, Mimics of malrotation on pediatric upper gastrointestinal series: a pictorial review, Abdom. Radiol. (NY) 43 (2018) 2246 – 2254. https://doi.org/10.1007/s00261-018-1537-9</w:t>
      </w:r>
    </w:p>
    <w:p>
      <w:pPr>
        <w:spacing w:after="60" w:line="480" w:lineRule="auto"/>
      </w:pPr>
      <w:r>
        <w:rPr>
          <w:sz w:val="20"/>
        </w:rPr>
        <w:t>[9] G.A. Taylor, CT appearance of the duodenum and mesenteric vessels in children with normal and abnormal bowel rotation, Pediatr. Radiol. 41 (2011) 1378 – 1383. https://doi.org/10.1007/s00247-011-2118-z</w:t>
      </w:r>
    </w:p>
    <w:p>
      <w:pPr>
        <w:spacing w:after="60" w:line="480" w:lineRule="auto"/>
      </w:pPr>
      <w:r>
        <w:rPr>
          <w:sz w:val="20"/>
        </w:rPr>
        <w:t>[10] K.S. Sodhi, A. Bhatia, A.K. Saxena, K.L.N. Rao, P. Menon, N. Khandelwal, Anticlockwise swirl of mesenteric vessels: a normal CT appearance, retrospective analysis of 200 pediatric patients, Eur. J. Radiol. 83 (2014) 710 – 714. https://doi.org/10.1016/j.ejrad.2013.12.026</w:t>
      </w:r>
    </w:p>
    <w:p>
      <w:pPr>
        <w:spacing w:after="60" w:line="480" w:lineRule="auto"/>
      </w:pPr>
      <w:r>
        <w:rPr>
          <w:sz w:val="20"/>
        </w:rPr>
        <w:t>[11] H.N. Nguyen, M. Kulkarni, J. Jose, et al., Ultrasound for the diagnosis of malrotation and volvulus in children and adolescents: a systematic review and meta-analysis, Arch. Dis. Child. 106 (2021) 1171 – 1178. https://doi.org/10.1136/archdischild-2020-321082</w:t>
      </w:r>
    </w:p>
    <w:p>
      <w:pPr>
        <w:spacing w:after="60" w:line="480" w:lineRule="auto"/>
      </w:pPr>
      <w:r>
        <w:rPr>
          <w:sz w:val="20"/>
        </w:rPr>
        <w:t>[12] H.N. Nguyen, O.M. Navarro, D.A. Bloom, et al., Ultrasound for midgut malrotation and midgut volvulus: AJR expert panel narrative review, AJR Am. J. Roentgenol. 218 (2022) 931 – 939. https://doi.org/10.2214/AJR.21.27242</w:t>
      </w:r>
    </w:p>
    <w:p>
      <w:pPr>
        <w:spacing w:after="60" w:line="480" w:lineRule="auto"/>
      </w:pPr>
      <w:r>
        <w:rPr>
          <w:sz w:val="20"/>
        </w:rPr>
        <w:t>[13] H.N. Nguyen, A.M. El-Ali, D. Van Tassel, et al., Diagnostic performance of ultrasound for diagnosing midgut malrotation and volvulus in children: a multiinstitutional retrospective review, AJR Am. J. Roentgenol. 225 (2025) e2532660. https://doi.org/10.2214/AJR.25.32660</w:t>
      </w:r>
    </w:p>
    <w:p>
      <w:pPr>
        <w:spacing w:after="60" w:line="480" w:lineRule="auto"/>
      </w:pPr>
      <w:r>
        <w:rPr>
          <w:sz w:val="20"/>
        </w:rPr>
        <w:t>[14] V. Binu, C. Nicholson, T. Cundy, et al., Ultrasound imaging as the first line of investigation to diagnose intestinal malrotation in children: safety and efficacy, J. Pediatr. Surg. 56 (2021) 2224 – 2228. https://doi.org/10.1016/j.jpedsurg.2021.04.009</w:t>
      </w:r>
    </w:p>
    <w:p>
      <w:pPr>
        <w:spacing w:after="60" w:line="480" w:lineRule="auto"/>
      </w:pPr>
      <w:r>
        <w:rPr>
          <w:sz w:val="20"/>
        </w:rPr>
        <w:t>[15] F.K. McCurdie, R. Meshaka, G. Leung, J. Billington, T.A. Watson, Ultrasound for infantile midgut malrotation: techniques, pearls, and pitfalls, Pediatr. Radiol. 54 (2024) 2099 – 2111. https://doi.org/10.1007/s00247-024-06067-4</w:t>
      </w:r>
    </w:p>
    <w:p>
      <w:pPr>
        <w:spacing w:after="60" w:line="480" w:lineRule="auto"/>
      </w:pPr>
      <w:r>
        <w:rPr>
          <w:sz w:val="20"/>
        </w:rPr>
        <w:t>[16] R. Menten, R. Reding, V. Godding, D.I. Dumitriu, P. Clapuyt, Sonographic assessment of the retroperitoneal position of the third portion of the duodenum: an indicator of normal intestinal rotation, Pediatr. Radiol. 42 (2012) 941 – 945. https://doi.org/10.1007/s00247-012-2403-5</w:t>
      </w:r>
    </w:p>
    <w:p>
      <w:pPr>
        <w:spacing w:after="60" w:line="480" w:lineRule="auto"/>
      </w:pPr>
      <w:r>
        <w:rPr>
          <w:sz w:val="20"/>
        </w:rPr>
        <w:t>[17] I. Hennessey, R. John, R. Gent, D.W. Goh, Utility of sonographic assessment of the position of the third part of the duodenum using water instillation in intestinal malrotation: a single-center retrospective audit, Pediatr. Radiol. 44 (2014) 387 – 391. https://doi.org/10.1007/s00247-013-2839-2</w:t>
      </w:r>
    </w:p>
    <w:p>
      <w:pPr>
        <w:spacing w:after="60" w:line="480" w:lineRule="auto"/>
      </w:pPr>
      <w:r>
        <w:rPr>
          <w:sz w:val="20"/>
        </w:rPr>
        <w:t>[18] B. Karmazyn, M.D. Cohen, Based on the position of the third portion of the duodenum at sonography, it is not possible to confidently diagnose malrotation, Pediatr. Radiol. 45 (2015) 138 – 139. https://doi.org/10.1007/s00247-014-3068-z</w:t>
      </w:r>
    </w:p>
    <w:p>
      <w:pPr>
        <w:spacing w:after="60" w:line="480" w:lineRule="auto"/>
      </w:pPr>
      <w:r>
        <w:rPr>
          <w:sz w:val="20"/>
        </w:rPr>
        <w:t>[19] Expert Panel on Pediatric Imaging, A.L. Alazraki, C.K. Rigsby, R.S. Iyer, et al., ACR Appropriateness Criteria® Vomiting in Infants, J. Am. Coll. Radiol. 17 (2020) S505 – S515. https://doi.org/10.1016/j.jacr.2020.09.002</w:t>
      </w:r>
    </w:p>
    <w:p>
      <w:pPr>
        <w:spacing w:after="60" w:line="480" w:lineRule="auto"/>
      </w:pPr>
      <w:r>
        <w:rPr>
          <w:sz w:val="20"/>
        </w:rPr>
        <w:t>[20] L.N. Keenan, T. Sewchuran, Audit of upper gastrointestinal tract series examinations for diagnosing intestinal malrotation in a resource-limited radiology department in Southern Africa, Surg. Pract. Sci. 14 (2023) 100183. https://doi.org/10.1016/j.sipas.2023.100183</w:t>
      </w:r>
    </w:p>
    <w:p>
      <w:pPr>
        <w:spacing w:after="60" w:line="480" w:lineRule="auto"/>
      </w:pPr>
      <w:r>
        <w:rPr>
          <w:sz w:val="20"/>
        </w:rPr>
        <w:t>[21] E. von Elm, D.G. Altman, M. Egger, et al., The Strengthening the Reporting of Observational Studies in Epidemiology (STROBE) statement: guidelines for reporting observational studies, Ann. Intern. Med. 147 (2007) 573 – 577. https://doi.org/10.7326/0003-4819-147-8-200710160-00010</w:t>
      </w:r>
    </w:p>
    <w:p>
      <w:pPr>
        <w:spacing w:after="60" w:line="480" w:lineRule="auto"/>
      </w:pPr>
      <w:r>
        <w:rPr>
          <w:sz w:val="20"/>
        </w:rPr>
        <w:t>[22] Y. Shimanuki, T. Aihara, H. Takano, et al., Clockwise whirlpool sign at color Doppler US: an objective and definite sign of midgut volvulus, Radiology 199 (1996) 261 – 264. https://doi.org/10.1148/radiology.199.1.8633156</w:t>
      </w:r>
    </w:p>
    <w:p>
      <w:pPr>
        <w:spacing w:after="60" w:line="480" w:lineRule="auto"/>
      </w:pPr>
      <w:r>
        <w:rPr>
          <w:sz w:val="20"/>
        </w:rPr>
        <w:t>[23] P. López-Úbeda, T. Martín-Noguerol, K. Juluru, A. Luna, Natural language processing in radiology: update on clinical applications, J. Am. Coll. Radiol. 19 (2022) 1271 – 1285. https://doi.org/10.1016/j.jacr.2022.06.016</w:t>
      </w:r>
    </w:p>
    <w:p>
      <w:pPr>
        <w:spacing w:after="60" w:line="480" w:lineRule="auto"/>
      </w:pPr>
      <w:r>
        <w:rPr>
          <w:sz w:val="20"/>
        </w:rPr>
        <w:t>[24] W.W. Chapman, W. Bridewell, P. Hanbury, G.F. Cooper, B.G. Buchanan, A simple algorithm for identifying negated findings and diseases in discharge summaries, J. Biomed. Inform. 34 (2001) 301 – 310. https://doi.org/10.1006/jbin.2001.1029</w:t>
      </w:r>
    </w:p>
    <w:p>
      <w:pPr>
        <w:spacing w:after="60" w:line="480" w:lineRule="auto"/>
      </w:pPr>
      <w:r>
        <w:rPr>
          <w:sz w:val="20"/>
        </w:rPr>
        <w:t>[25] S.L. Zeger, K.Y. Liang, Longitudinal data analysis for discrete and continuous outcomes, Biometrics 42 (1986) 121 – 130. https://doi.org/10.2307/2531248</w:t>
      </w:r>
    </w:p>
    <w:p>
      <w:pPr>
        <w:spacing w:after="60" w:line="480" w:lineRule="auto"/>
      </w:pPr>
      <w:r>
        <w:rPr>
          <w:sz w:val="20"/>
        </w:rPr>
        <w:t>[26] D. Firth, Bias reduction of maximum likelihood estimates, Biometrika 80 (1993) 27 – 38. https://doi.org/10.1093/biomet/80.1.27</w:t>
      </w:r>
    </w:p>
    <w:p>
      <w:pPr>
        <w:spacing w:after="60" w:line="480" w:lineRule="auto"/>
      </w:pPr>
      <w:r>
        <w:rPr>
          <w:sz w:val="20"/>
        </w:rPr>
        <w:t>[27] G. Heinze, M. Schemper, A solution to the problem of separation in logistic regression, Stat. Med. 21 (2002) 2409 – 2419. https://doi.org/10.1002/sim.1047</w:t>
      </w:r>
    </w:p>
    <w:p>
      <w:pPr>
        <w:spacing w:after="60" w:line="480" w:lineRule="auto"/>
      </w:pPr>
      <w:r>
        <w:rPr>
          <w:sz w:val="20"/>
        </w:rPr>
        <w:t>[28] A.M. El-Ali, D.M. Schiess, D. Van Tassel, et al., Ultrasound for midgut volvulus and malrotation: frequency and predictors of a non-diagnostic examination in a multi-institutional cohort, Pediatr. Radiol. 55 (2025) 925 – 935. https://doi.org/10.1007/s00247-024-06141-x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 CT, computed tomography; UGI, upper gastrointestinal.</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 CI, confidence interval; CT, computed tomography; UGI, upper gastrointestinal.</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Sex is as recorded in the medical record.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CT, computed tomography;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CI, confidence interval; CT, computed tomography;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CI, confidence interval; CT, computed tomography; UGI, upper gastrointestinal.</w:t>
      </w:r>
    </w:p>
    <w:sectPr w:rsidR="00FC693F" w:rsidRPr="0006063C" w:rsidSect="00034616">
      <w:footerReference w:type="default" r:id="rId9"/>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2026-10-17T00:47:19Z</dcterms:created>
  <dcterms:modified xsi:type="dcterms:W3CDTF">2026-10-17T00:47:19Z</dcterms:modified>
  <cp:category/>
  <cp:contentStatus/>
  <dc:identifier/>
  <dc:language/>
  <cp:version/>
</cp:coreProperties>
</file>