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Response to the Section Editor and Reviewers</w:t>
      </w:r>
    </w:p>
    <w:p>
      <w:pPr>
        <w:spacing w:after="160"/>
      </w:pPr>
      <w:r>
        <w:t>Manuscript: "Real-world detection rates of gastrointestinal ultrasound, abdominal CT, and the upper gastrointestinal contrast series for intestinal malrotation in children: a 13.5-year single-center cohort" (Submission ID 0a307e19-d139-4e4c-865e-36c1b10f0b06)</w:t>
      </w:r>
    </w:p>
    <w:p>
      <w:pPr>
        <w:spacing w:after="160"/>
      </w:pPr>
      <w:r>
        <w:t>Revised title: "Routine ultrasound reports for intestinal malrotation rarely document duodenal landmarks: a report-level audit of 740 preoperative examinations in 465 surgically confirmed children"</w:t>
      </w:r>
    </w:p>
    <w:p>
      <w:pPr>
        <w:spacing w:after="160"/>
      </w:pPr>
      <w:r>
        <w:t>We are grateful to the Section Editor and both reviewers for an unusually clear diagnosis of what was wrong with the manuscript. The three sets of comments converge on one conclusion, and we now accept it without reservation: the study we submitted was framed as a comparative diagnostic accuracy study, and the design cannot support that framing. Rather than defend the original framing, we have rebuilt the paper around the question the data can answer, and around the finding that Reviewer 1 correctly identified as the real novelty — that routine ultrasound underperforms the literature — with new analyses that identify why.</w:t>
      </w:r>
    </w:p>
    <w:p>
      <w:pPr>
        <w:spacing w:after="160"/>
      </w:pPr>
      <w:r>
        <w:t>Four changes are structural rather than cosmetic:</w:t>
      </w:r>
    </w:p>
    <w:p>
      <w:pPr>
        <w:spacing w:after="160"/>
      </w:pPr>
      <w:r>
        <w:rPr>
          <w:b/>
        </w:rPr>
        <w:t>1. The study is no longer presented as a diagnostic accuracy study.</w:t>
      </w:r>
      <w:r>
        <w:t xml:space="preserve"> The word "sensitivity" has been removed throughout and replaced by "report-level detection rate among surgically confirmed cases". A dedicated Methods subsection ("Design, terminology and what this study can and cannot estimate") states explicitly that specificity, predictive values and any ranking of the three modalities are not estimable. STARD is explicitly not claimed. The title, abstract, results and conclusions have all been rewritten accordingly.</w:t>
      </w:r>
    </w:p>
    <w:p>
      <w:pPr>
        <w:spacing w:after="160"/>
      </w:pPr>
      <w:r>
        <w:rPr>
          <w:b/>
        </w:rPr>
        <w:t>2. The centre of gravity has moved to the ultrasound finding, supported by a new report-content audit.</w:t>
      </w:r>
      <w:r>
        <w:t xml:space="preserve"> We audited all 119 ultrasound index reports for the technical elements that drive published ultrasound accuracy. The result is stark and, we believe, the most useful thing in the paper: </w:t>
      </w:r>
      <w:r>
        <w:rPr>
          <w:b/>
        </w:rPr>
        <w:t>not one report (0/119) documented the third portion of the duodenum or the duodenojejunal junction</w:t>
      </w:r>
      <w:r>
        <w:t>; 8.4% described the superior mesenteric artery–vein relationship; one recorded enteric fluid. Detection tracked content almost deterministically — 100% (59/59) when a whirlpool sign was recorded, 10% (6/60) when it was not. Routine ultrasound at our institution was a test for volvulus, not for malrotation, and this explains the gap to the published 93–97% far better than any statement about "real-world performance".</w:t>
      </w:r>
    </w:p>
    <w:p>
      <w:pPr>
        <w:spacing w:after="160"/>
      </w:pPr>
      <w:r>
        <w:rPr>
          <w:b/>
        </w:rPr>
        <w:t>3. The temporal improvement has been investigated rather than used as an excuse.</w:t>
      </w:r>
      <w:r>
        <w:t xml:space="preserve"> Reviewer 2 suggested this could be one of the most valuable findings, and we agree. Ultrasound detection rose from 41.0% to 61.3% between eras. In a mediation-style analysis, the era effect (OR 2.27, 95% CI 1.04–4.96) fell to a non-significant 1.56 (0.67–3.62) once we adjusted for a documented shift toward mesenteric-vessel-focused examination (OR 3.46, 1.56–7.67), and detection with a vessel-focused study was ~70% in both eras. The department improved because the examination changed, not because time passed.</w:t>
      </w:r>
    </w:p>
    <w:p>
      <w:pPr>
        <w:spacing w:after="160"/>
      </w:pPr>
      <w:r>
        <w:rPr>
          <w:b/>
        </w:rPr>
        <w:t>4. Every claim of superiority has been withdrawn.</w:t>
      </w:r>
      <w:r>
        <w:t xml:space="preserve"> The comparison of contrast-enhanced CT with the UGI series has been removed from the abstract. The paired analysis is presented as a selected subgroup, not as confirmation. The between-modality models are explicitly labelled as descriptions of indication-driven practice.</w:t>
      </w:r>
    </w:p>
    <w:p>
      <w:pPr>
        <w:spacing w:after="160"/>
      </w:pPr>
      <w:r>
        <w:t>The detailed responses follow. Reviewer comments are in quotation marks; our responses follow each.</w:t>
      </w:r>
    </w:p>
    <w:p>
      <w:pPr>
        <w:pStyle w:val="Heading1"/>
      </w:pPr>
      <w:r>
        <w:t>Section Editor (Dr Kushaljit Singh Sodhi)</w:t>
      </w:r>
    </w:p>
    <w:p>
      <w:pPr>
        <w:pStyle w:val="Heading2"/>
      </w:pPr>
      <w:r>
        <w:t>SE1. "The major concern: this is not really a diagnostic accuracy study… the denominators are fundamentally different. You cannot conclude UGI is more accurate than US or CT."</w:t>
      </w:r>
    </w:p>
    <w:p>
      <w:pPr>
        <w:spacing w:after="160"/>
      </w:pPr>
      <w:r>
        <w:t>We accept this entirely, and it is now the organising principle of the manuscript rather than a caveat within it.</w:t>
      </w:r>
    </w:p>
    <w:p>
      <w:pPr>
        <w:spacing w:after="160"/>
      </w:pPr>
      <w:r>
        <w:t>Concretely: (a) the title no longer refers to detection rates of three modalities in a way that implies comparison, and instead names the report-audit finding; (b) "sensitivity" has been eliminated as a term for our proportions; (c) a Methods subsection states that the three rates rest on different, indication-selected denominators and are not comparable; (d) Fig. 3 now carries the denominator of each estimate in bold in the axis label and a warning in the figure title that the estimates are not sensitivities and must not be compared with one another; (e) the GEE model is described as a summary of indication-driven detection whose modality coefficients absorb indication, pathway position and examination content; and (f) the Conclusion states that the study does not rank the three modalities and should not be used to argue against ultrasound-first pathways.</w:t>
      </w:r>
    </w:p>
    <w:p>
      <w:pPr>
        <w:spacing w:after="160"/>
      </w:pPr>
      <w:r>
        <w:t>We have also added the evidence that makes the non-comparability concrete rather than asserted. New Table 1 shows the characteristics of the children who received each test; new results show that CT was the first index test in 183 of 271 multiply-imaged children (67.5%) and the UGI series the last before operation in 184 (67.9%), and that UGI detection was higher in that terminal position (80.4%) than earlier in the pathway (70.5%). The UGI series was the confirmatory test in our pathway, which is a property of the pathway, not of the test.</w:t>
      </w:r>
    </w:p>
    <w:p>
      <w:pPr>
        <w:pStyle w:val="Heading2"/>
      </w:pPr>
      <w:r>
        <w:t>SE2. "The 59-patient paired cohort does not solve the problem… Why did these 59 undergo all three? They are almost certainly the diagnostically difficult patients… Furthermore, 8/59 had examinations separated by &gt;2 days."</w:t>
      </w:r>
    </w:p>
    <w:p>
      <w:pPr>
        <w:spacing w:after="160"/>
      </w:pPr>
      <w:r>
        <w:t>Agreed on both points, and we have acted on both.</w:t>
      </w:r>
    </w:p>
    <w:p>
      <w:pPr>
        <w:spacing w:after="160"/>
      </w:pPr>
      <w:r>
        <w:t>On selection: we have quantified it rather than merely conceding it. The 59 differ sharply from the other 351 imaged children — 96.6% versus 86.6% volvulus, 83.1% versus 65.5% neonates, 62.7% versus 31.3% operated in the later era. The manuscript now states that the question this subgroup answers is "among children investigated intensively enough to receive all three tests, which examination named the diagnosis most often", and that this is not a population-level comparison of sensitivity. The word "confirmed" has been removed from every description of this analysis, including the abstract.</w:t>
      </w:r>
    </w:p>
    <w:p>
      <w:pPr>
        <w:spacing w:after="160"/>
      </w:pPr>
      <w:r>
        <w:t>On timing: we recomputed the interval between the first and last of the three examinations using exact timestamps (median 0.9 days, IQR 0.6–1.6); 47 of 59 (79.7%) were within 48 h and 31 (52.5%) within 24 h. We then repeated the entire paired analysis in both windows (new Table 5, new Fig. 2). Within 48 h detection was 83.0%, 59.6% and 48.9% for the UGI series, ultrasound and CT (Cochran's Q p&lt;0.001); within 24 h, 87.1%, 64.5% and 51.6% (p=0.002). Restricting to near-simultaneous examinations does not weaken the pattern, which addresses the possibility that volvulus evolved between studies — but we state explicitly that no timing restriction can undo the selection that defines the subgroup.</w:t>
      </w:r>
    </w:p>
    <w:p>
      <w:pPr>
        <w:pStyle w:val="Heading2"/>
      </w:pPr>
      <w:r>
        <w:t>SE3. "The study population is highly skewed toward severe disease… tells us very little about older children, intermittent vomiting, incidental malrotation, non-volvulus malrotation, equivocal cases, outpatient presentations, stable children — precisely the populations in which the modern US-first versus UGI debate is most relevant."</w:t>
      </w:r>
    </w:p>
    <w:p>
      <w:pPr>
        <w:spacing w:after="160"/>
      </w:pPr>
      <w:r>
        <w:t>Accepted without qualification. The manuscript now states this in three places rather than one, and quantifies it: 302 of 465 children (64.9%) were neonates, 403 (86.7%) had volvulus, and only 62 (13.3%) had malrotation without volvulus, of whom just 6 underwent ultrasound. A dedicated Results paragraph ("Age, and the populations this cohort does not describe") reports detection by age category and states that the cohort contains very little information about the populations the Editor lists and that we make no claims about them. The Discussion states that the study does not resolve the ultrasound-first debate, and the Conclusion repeats that these findings should not be used to argue against ultrasound-first pathways.</w:t>
      </w:r>
    </w:p>
    <w:p>
      <w:pPr>
        <w:spacing w:after="160"/>
      </w:pPr>
      <w:r>
        <w:t>We would add one point in explanation, not defence: because the study is now a report audit rather than an accuracy study, this narrow population is a limitation on generalisability of the report-content finding rather than a source of bias in it. The observation that 0 of 119 ultrasound reports documented D3 does not depend on the case mix; what depends on case mix is whether other departments would show the same deficit, which we identify as the question most worth asking next.</w:t>
      </w:r>
    </w:p>
    <w:p>
      <w:pPr>
        <w:pStyle w:val="Heading1"/>
      </w:pPr>
      <w:r>
        <w:t>Reviewer 1</w:t>
      </w:r>
    </w:p>
    <w:p>
      <w:pPr>
        <w:pStyle w:val="Heading2"/>
      </w:pPr>
      <w:r>
        <w:t>R1.1. "Did 55 children undergo surgery without any preoperative imaging? This clearly defies real-world clinical logic."</w:t>
      </w:r>
    </w:p>
    <w:p>
      <w:pPr>
        <w:spacing w:after="160"/>
      </w:pPr>
      <w:r>
        <w:t xml:space="preserve">The reviewer is right that this would defy clinical logic, and we apologise for wording that implied it. It was a reporting failure on our part, not a description of practice. Those 55 children had no preoperative examination of the </w:t>
      </w:r>
      <w:r>
        <w:rPr>
          <w:b/>
        </w:rPr>
        <w:t>three index modalities</w:t>
      </w:r>
      <w:r>
        <w:t>; they were not operated on without imaging.</w:t>
      </w:r>
    </w:p>
    <w:p>
      <w:pPr>
        <w:spacing w:after="160"/>
      </w:pPr>
      <w:r>
        <w:t>We have returned to the source records and established exactly what they received. Of the 55: 46 had preoperative radiographs (44 including the abdomen); 12 had a contrast enema of the colon (which we did not count as a UGI series); 22 had ultrasound of another region; 7 had CT of another region. Only 5 had no in-hospital preoperative study of any type — and the admission record of every one of those 5 documents imaging performed before transfer, in three cases already reporting malrotation or volvulus. Across all 55, prior outside or outpatient imaging was documented in 33, and had already reported malrotation or volvulus in 19.</w:t>
      </w:r>
    </w:p>
    <w:p>
      <w:pPr>
        <w:spacing w:after="160"/>
      </w:pPr>
      <w:r>
        <w:t>These children were therefore operated on after the diagnosis had been made or strongly suggested elsewhere, or after a radiograph and contrast enema in an era when that combination was more often considered sufficient. This is now stated in the Results, and the flow diagram (Fig. 1) has been redrawn to show the breakdown explicitly. We also show that they differed systematically from the imaged children (older, less often neonates, less often bilious vomiting, less often volvulus), and describe their exclusion as informative missingness.</w:t>
      </w:r>
    </w:p>
    <w:p>
      <w:pPr>
        <w:pStyle w:val="Heading2"/>
      </w:pPr>
      <w:r>
        <w:t>R1.2. "The authors acknowledge that negative ultrasound should not be considered sufficient to exclude uncomplicated malrotation, yet the abstract conclusion still emphasises that UGI is highest. These have completely different clinical implications — a contradiction."</w:t>
      </w:r>
    </w:p>
    <w:p>
      <w:pPr>
        <w:spacing w:after="160"/>
      </w:pPr>
      <w:r>
        <w:t>Agreed. The abstract conclusion no longer says that the UGI series was highest. It now reads:</w:t>
      </w:r>
    </w:p>
    <w:p>
      <w:pPr>
        <w:spacing w:after="160"/>
      </w:pPr>
      <w:r>
        <w:t>*"In routine practice, ultrasound for malrotation was performed and reported as a whirlpool-dependent test for volvulus rather than as a protocolised assessment of duodenal position, and its detection tracked that content almost perfectly. The gap between real-world and published ultrasound performance is best explained by examination technique and reporting content, not by any intrinsic limitation of ultrasound. These are detection rates in children with confirmed disease and do not rank the accuracy of the three modalities."*</w:t>
      </w:r>
    </w:p>
    <w:p>
      <w:pPr>
        <w:spacing w:after="160"/>
      </w:pPr>
      <w:r>
        <w:t>The abstract and the Discussion now carry the same message, and that message is about examination content rather than about a ranking of modalities.</w:t>
      </w:r>
    </w:p>
    <w:p>
      <w:pPr>
        <w:pStyle w:val="Heading2"/>
      </w:pPr>
      <w:r>
        <w:t>R1.3. "The finding that contrast-enhanced CT is comparable to UGI is presented as important, yet the indications were confounded and non-randomised. If the comparison is unreliable, why is it in the abstract and the main results?"</w:t>
      </w:r>
    </w:p>
    <w:p>
      <w:pPr>
        <w:spacing w:after="160"/>
      </w:pPr>
      <w:r>
        <w:t>A fair objection, and we have removed it from the abstract. Enhanced-versus-unenhanced CT is now reported once, within Table 2 as an explicitly labelled exploratory subgroup, and discussed once, where we state that the association of enhancement with detection (84.6% vs 47.4%) is consistent with vascular opacification being what makes the whirl visible, but that enhanced studies were selected by indication and performed more often in older children, so the contrast is confounded and hypothesis-generating. We also say in the Discussion, in terms, that a confounded subgroup contrast does not belong among a study's headline results.</w:t>
      </w:r>
    </w:p>
    <w:p>
      <w:pPr>
        <w:pStyle w:val="Heading2"/>
      </w:pPr>
      <w:r>
        <w:t>R1.4. "The authors repeatedly emphasise that UGI has the highest detection rate. This is already well known… The core of your article should be that ultrasound, in daily practice, is far less excellent than reported in the literature. That is the key novelty. Please do not confuse the primary and secondary points."</w:t>
      </w:r>
    </w:p>
    <w:p>
      <w:pPr>
        <w:spacing w:after="160"/>
      </w:pPr>
      <w:r>
        <w:t>This comment reshaped the paper, and we thank the reviewer for it. It is now the paper's primary point, and we have gone further than restating it: we have measured *why*.</w:t>
      </w:r>
    </w:p>
    <w:p>
      <w:pPr>
        <w:spacing w:after="160"/>
      </w:pPr>
      <w:r>
        <w:t>Specifically, we added a report-content audit of all 740 index examinations. For ultrasound (new Table 3, new Fig. 4): D3 or the duodenojejunal junction documented in 0 of 119 reports; the SMA–SMV relationship in 8.4%; enteric fluid in 0.8%; explicit vessel inversion in 0.8% (although vessel inversion was one of our two positivity criteria); a whirlpool in 49.6%. Detection was 100% (59/59) when a whirlpool was recorded and 10% (6/60) when it was not, and 100% (10/10) when the vessel relationship was described.</w:t>
      </w:r>
    </w:p>
    <w:p>
      <w:pPr>
        <w:spacing w:after="160"/>
      </w:pPr>
      <w:r>
        <w:t>The interpretation now runs: routine ultrasound in our department was, in practice, a test for midgut volvulus; a child whose midgut was not actively twisted at the time of scanning was unlikely to be identified; and the distance from the published 93–97% is a distance in examination technique and reporting, not a property of ultrasound. The UGI series' higher detection is explained in the same terms — it was the only modality whose routine reports documented the defining landmark (the duodenojejunal junction) in the majority of examinations — rather than asserted as superiority.</w:t>
      </w:r>
    </w:p>
    <w:p>
      <w:pPr>
        <w:pStyle w:val="Heading2"/>
      </w:pPr>
      <w:r>
        <w:t>R1.5. "Regarding surgeons being aware of the preoperative imaging results, given the well-known high specificity of UGI, could this have introduced bias? Could surgeons have been subjectively influenced to believe that surgery was indicated?"</w:t>
      </w:r>
    </w:p>
    <w:p>
      <w:pPr>
        <w:spacing w:after="160"/>
      </w:pPr>
      <w:r>
        <w:t>Yes. We now answer this directly rather than listing it as a generic limitation. The Discussion states that whether surgeons could have been influenced toward operating by a positive UGI series is "answered in the affirmative — that is how a confirmatory test functions in a diagnostic pathway — and it is a reason why these data cannot rank the tests."</w:t>
      </w:r>
    </w:p>
    <w:p>
      <w:pPr>
        <w:spacing w:after="160"/>
      </w:pPr>
      <w:r>
        <w:t>We also provide supporting evidence rather than assertion: the UGI series was the last preoperative examination in 184 of 245 children who received it (75.1%), against 19.2% for CT and 36.8% for ultrasound, and its detection was higher in that terminal position (80.4%) than when another examination followed (70.5%). Because the operative diagnosis is our reference standard and the operation was often precipitated by the UGI result, incorporation bias is asymmetrical between modalities and inflates the apparent advantage of whichever test drove the decision to operate. This is now stated as a reason the between-modality comparison cannot be read as an accuracy comparison, not merely as a caveat.</w:t>
      </w:r>
    </w:p>
    <w:p>
      <w:pPr>
        <w:pStyle w:val="Heading1"/>
      </w:pPr>
      <w:r>
        <w:t>Reviewer 2</w:t>
      </w:r>
    </w:p>
    <w:p>
      <w:pPr>
        <w:pStyle w:val="Heading2"/>
      </w:pPr>
      <w:r>
        <w:t>R2.1. "The study population does not permit assessment of diagnostic accuracy… I recommend consistently referring to these values as detection rates among surgically confirmed cases rather than sensitivity."</w:t>
      </w:r>
    </w:p>
    <w:p>
      <w:pPr>
        <w:spacing w:after="160"/>
      </w:pPr>
      <w:r>
        <w:t>Done throughout, without exception. "Sensitivity" now appears in the manuscript only when describing the published literature, never for our own proportions. Table and figure headings, the abstract, and every results sentence use "report-level detection rate among surgically confirmed cases". The Methods explain why the distinction is not merely terminological.</w:t>
      </w:r>
    </w:p>
    <w:p>
      <w:pPr>
        <w:pStyle w:val="Heading2"/>
      </w:pPr>
      <w:r>
        <w:t>R2.2. "The conclusions regarding ultrasound need to be substantially tempered… ultrasound performance depends on operator expertise, training, protocol, D3 assessment, SMA/SMV assessment, enteric fluid, whirlpool assessment, age and bowel gas, and institutional experience. The 2021 systematic review found better performance with SMA/SMV assessment and enteric fluid. The authors should provide considerably more information about how ultrasound was performed, rather than treating ultrasound as a homogeneous modality."</w:t>
      </w:r>
    </w:p>
    <w:p>
      <w:pPr>
        <w:spacing w:after="160"/>
      </w:pPr>
      <w:r>
        <w:t>We agree, and this comment (with R2.3 and R2.4) generated the new centrepiece of the paper. Rather than tempering the conclusion in prose alone, we measured the determinants the reviewer lists, to the extent the record allows, and let them carry the interpretation.</w:t>
      </w:r>
    </w:p>
    <w:p>
      <w:pPr>
        <w:spacing w:after="160"/>
      </w:pPr>
      <w:r>
        <w:t>The revised Discussion now states explicitly that the published figures were obtained by examinations that assessed D3 and the duodenojejunal junction, often with enteric fluid, by readers alert to the diagnosis, whereas ours were obtained by examinations that on the evidence of their own reports did not; that the 2021 systematic review anticipated precisely this heterogeneity and identified SMA/SMV assessment and enteric fluid as discriminators; and that our data are a quantified instance of it. We no longer describe our result as the gap between "research-grade" and "everyday" ultrasound performance, which was too broad a claim, but as the consequence of a specific and identifiable technical deficit.</w:t>
      </w:r>
    </w:p>
    <w:p>
      <w:pPr>
        <w:pStyle w:val="Heading2"/>
      </w:pPr>
      <w:r>
        <w:t>R2.3. "The ultrasound protocol is insufficiently described… the study does not provide sufficient information regarding D3, duodenal course, DJ junction, jejunal position, SMA/SMV relative to the aorta, enteric fluid, graded compression, sonographer versus radiologist, dedicated paediatric sonographers, and whether protocols changed during 2012–2026."</w:t>
      </w:r>
    </w:p>
    <w:p>
      <w:pPr>
        <w:spacing w:after="160"/>
      </w:pPr>
      <w:r>
        <w:t>This was the most difficult comment to answer honestly, because our department had no written malrotation ultrasound protocol during the study period, so there was no protocol document to describe. Rather than reconstruct one retrospectively, we audited what the examinations actually documented — which is both verifiable and, we would argue, more informative.</w:t>
      </w:r>
    </w:p>
    <w:p>
      <w:pPr>
        <w:spacing w:after="160"/>
      </w:pPr>
      <w:r>
        <w:t>New Table 3 and Fig. 4 report, for all 119 ultrasound index reports: third portion of duodenum or DJ junction 0 (0%); duodenum mentioned at all 6 (5.0%); SMA–SMV relationship 10 (8.4%); explicit vessel inversion 1 (0.8%); enteric fluid 1 (0.8%); caecal position 4 (3.4%); whirlpool sign 59 (49.6%); bowel gas explicitly limiting the study 26 (21.8%); bedside examination 9 (7.6%); recorded as abdominal great-vessel study 61 (51.3%) versus gastrointestinal ultrasound 68 (57.1%). Each is also given by era, and with detection conditional on it.</w:t>
      </w:r>
    </w:p>
    <w:p>
      <w:pPr>
        <w:spacing w:after="160"/>
      </w:pPr>
      <w:r>
        <w:t>On protocol change: we could not identify a formally documented protocol revision in departmental records, and have said so, with a marked placeholder in the Methods asking the authors to confirm and date any change we could not trace. However, the reports themselves show a change: the proportion recorded as abdominal great-vessel studies rose from 28.2% to 62.5% (Fisher p&lt;0.001). See R2.10.</w:t>
      </w:r>
    </w:p>
    <w:p>
      <w:pPr>
        <w:spacing w:after="160"/>
      </w:pPr>
      <w:r>
        <w:t>On operator: we state that examinations were performed within the general paediatric ultrasound service rather than by a designated malrotation reader group, and that reports were free text with no structured malrotation template at any point. We have not asserted anything about sonographer training or graded compression, because the record does not support a statement either way, and we say so.</w:t>
      </w:r>
    </w:p>
    <w:p>
      <w:pPr>
        <w:pStyle w:val="Heading2"/>
      </w:pPr>
      <w:r>
        <w:t>R2.4. "'Real-world reporting' and 'real-world imaging performance' are not synonymous… the observed 54.6% could represent failure of the examination, failure to recognise or document the finding, inadequate technique, or lack of familiarity. The manuscript would be more accurately described as evaluating real-world radiological report detection."</w:t>
      </w:r>
    </w:p>
    <w:p>
      <w:pPr>
        <w:spacing w:after="160"/>
      </w:pPr>
      <w:r>
        <w:t>Accepted, and adopted as the paper's frame. The title now names a report-level audit; the outcome is "report-level detection"; and the Methods state that the audit "is a lower bound on what was performed: an element assessed but not written down is indistinguishable here from one never assessed — a limitation intrinsic to the question, since the report is what the referring clinician acts on."</w:t>
      </w:r>
    </w:p>
    <w:p>
      <w:pPr>
        <w:spacing w:after="160"/>
      </w:pPr>
      <w:r>
        <w:t>The Limitations repeat this: "this study measures reported detection, not achievable image-based accuracy: a finding seen but not written, and an inadequate examination reported as normal, are indistinguishable here… it means our figures cannot be attributed to the imaging examination alone." We have removed every statement characterising the result as the intrinsic performance of ultrasound.</w:t>
      </w:r>
    </w:p>
    <w:p>
      <w:pPr>
        <w:pStyle w:val="Heading2"/>
      </w:pPr>
      <w:r>
        <w:t>R2.5. "The NLP methodology requires greater transparency… I would request more detailed description of the algorithm; number of positive/negative reports by modality; number of equivocal reports by modality; interobserver agreement if possible; examples of common misclassification; clarification of whether the 8 targeted reports were included in the validation statistics; ideally the algorithm as supplementary material."</w:t>
      </w:r>
    </w:p>
    <w:p>
      <w:pPr>
        <w:spacing w:after="160"/>
      </w:pPr>
      <w:r>
        <w:t>All requests addressed, point by point:</w:t>
      </w:r>
    </w:p>
    <w:p>
      <w:pPr>
        <w:spacing w:after="160"/>
      </w:pPr>
      <w:r>
        <w:t>*Algorithm as supplementary material* — Online Resource 1 now contains the complete specification: the positive-evidence dictionary by modality, the negation and scope rules, the exclusion list, the priority order in which rules are applied, and worked examples.</w:t>
      </w:r>
    </w:p>
    <w:p>
      <w:pPr>
        <w:spacing w:after="160"/>
      </w:pPr>
      <w:r>
        <w:t>*Positive/negative by modality* — Table 2: UGI 237/301 positive, CT 171/320, ultrasound 65/119, with Wilson CIs; the full cross-tabulation is in Online Resource 1.</w:t>
      </w:r>
    </w:p>
    <w:p>
      <w:pPr>
        <w:spacing w:after="160"/>
      </w:pPr>
      <w:r>
        <w:t>*Equivocal reports by modality* — Table 2 now tabulates the certainty tier of every positive conclusion: definite 32.9% / 19.9% / 24.6% and possible 35.0% / 36.3% / 49.2% for UGI, CT and ultrasound respectively. We also repeat the principal analyses with all possible-tier conclusions reclassified as negative (detection falls to 51.2%, 34.1% and 27.7%), which leaves the pattern unchanged and shows that the largest proportional reduction falls on ultrasound.</w:t>
      </w:r>
    </w:p>
    <w:p>
      <w:pPr>
        <w:spacing w:after="160"/>
      </w:pPr>
      <w:r>
        <w:t xml:space="preserve">*The 8 targeted reports* — they were </w:t>
      </w:r>
      <w:r>
        <w:rPr>
          <w:b/>
        </w:rPr>
        <w:t>excluded</w:t>
      </w:r>
      <w:r>
        <w:t xml:space="preserve"> from the agreement statistics, and the Methods now say so explicitly: they were selected because they were suspected discordances, so including them would have biased the estimate. The 92% agreement and kappa 0.83 derive from the 24-report stratified random sample alone.</w:t>
      </w:r>
    </w:p>
    <w:p>
      <w:pPr>
        <w:spacing w:after="160"/>
      </w:pPr>
      <w:r>
        <w:t>*Interobserver agreement* — we cannot provide it. Validation rested on a single blinded adjudicator, and we now state this as a limitation rather than presenting the single-rater agreement as reliability evidence.</w:t>
      </w:r>
    </w:p>
    <w:p>
      <w:pPr>
        <w:spacing w:after="160"/>
      </w:pPr>
      <w:r>
        <w:t>*Common misclassifications* — Online Resource 1 gives worked examples. All discordances in both samples were machine under-calls (the algorithm missing a positive), so the reported detection rates are conservative.</w:t>
      </w:r>
    </w:p>
    <w:p>
      <w:pPr>
        <w:pStyle w:val="Heading2"/>
      </w:pPr>
      <w:r>
        <w:t>R2.6. "Incorporation bias is a major concern… the authors should expand this discussion and avoid presenting the operative diagnosis as an entirely independent gold standard."</w:t>
      </w:r>
    </w:p>
    <w:p>
      <w:pPr>
        <w:spacing w:after="160"/>
      </w:pPr>
      <w:r>
        <w:t>Expanded substantially, and with supporting data rather than acknowledgement alone; please see our response to R1.5, which gives the pathway-position evidence (UGI last in 75.1% of children who received it; detection 80.4% in that position versus 70.5% earlier). The Discussion now names incorporation bias as one of three features that make the between-modality differences uninterpretable as accuracy, and the Limitations state that the reference standard was not independent of the index tests. The phrase "gold standard" does not appear in the revision; we write "reference standard" and describe its dependence on the index tests where we introduce it.</w:t>
      </w:r>
    </w:p>
    <w:p>
      <w:pPr>
        <w:pStyle w:val="Heading2"/>
      </w:pPr>
      <w:r>
        <w:t>R2.7. "Major confounding by indication… the study would benefit from reporting, for each imaging group: age, neonatal status, symptoms, bilious vomiting, suspected volvulus, clinical instability, previous imaging, and the indication for each test. Adjustment for only age, neonatal status and era is unlikely to adequately control this confounding."</w:t>
      </w:r>
    </w:p>
    <w:p>
      <w:pPr>
        <w:spacing w:after="160"/>
      </w:pPr>
      <w:r>
        <w:t>We agree that adjustment cannot control it, and have therefore displayed it instead of adjusting it away. New Table 1 reports, for each imaging group and for the children who received none of the three tests: age at operation, neonatal status, age &gt;1 year, sex, era, midgut volvulus, and documented presenting features (vomiting, bilious vomiting, distension, blood in stool, abdominal pain, recurrent or intermittent symptoms, shock or poor perfusion).</w:t>
      </w:r>
    </w:p>
    <w:p>
      <w:pPr>
        <w:spacing w:after="160"/>
      </w:pPr>
      <w:r>
        <w:t>The differences are material and are now reported in the Results: children who underwent ultrasound had volvulus more often (95.0% vs 89.0% and 87.8%) and were heavily concentrated in the later era (67.2% vs 31.9% and 32.8%), and ultrasound utilisation among operated children rose from 13% to 48% between eras. We have added the test-sequence analysis (R1.5) as a further dimension of the same problem. The Methods state that these characteristics are tabulated "to display confounding by indication directly rather than to adjust it away", and the Discussion states that adjustment for the few recoverable variables cannot substitute for randomisation.</w:t>
      </w:r>
    </w:p>
    <w:p>
      <w:pPr>
        <w:spacing w:after="160"/>
      </w:pPr>
      <w:r>
        <w:t>One limitation of our answer should be stated plainly: presenting indications were extracted from admission records by text search, so Table 1 reports documentation rates rather than verified prevalences, and the formal indication for each examination was not recorded prospectively in a retrievable form. The table footnote says so.</w:t>
      </w:r>
    </w:p>
    <w:p>
      <w:pPr>
        <w:pStyle w:val="Heading2"/>
      </w:pPr>
      <w:r>
        <w:t>R2.8. "The paired cohort is valuable but highly selected… I would recommend describing this as a selected paired cohort rather than allowing it to be interpreted as a definitive head-to-head accuracy comparison."</w:t>
      </w:r>
    </w:p>
    <w:p>
      <w:pPr>
        <w:spacing w:after="160"/>
      </w:pPr>
      <w:r>
        <w:t>Done; please see our response to SE2, which also reports the new timing-restricted sensitivity analyses. The section is now headed "The selected subgroup who received all three examinations", the selection is quantified against the other 351 imaged children, and the word "confirmatory" has been removed from the abstract and from the section.</w:t>
      </w:r>
    </w:p>
    <w:p>
      <w:pPr>
        <w:pStyle w:val="Heading2"/>
      </w:pPr>
      <w:r>
        <w:t>R2.9. "The ultrasound-negative/volvulus-negative analysis is severely underpowered… I would make the wording even more conservative."</w:t>
      </w:r>
    </w:p>
    <w:p>
      <w:pPr>
        <w:spacing w:after="160"/>
      </w:pPr>
      <w:r>
        <w:t>Made more conservative, and we have also reported an analytic fact that the previous version obscured. The pre-specified modality-by-volvulus interaction could not be estimated across all three modalities at all: because no ultrasound examination was positive among the six children without volvulus, the model exhibits complete separation and does not converge. The previous manuscript reported a p value of 0.580 for the ultrasound term, which we now regard as uninterpretable; it has been removed.</w:t>
      </w:r>
    </w:p>
    <w:p>
      <w:pPr>
        <w:spacing w:after="160"/>
      </w:pPr>
      <w:r>
        <w:t>We now report the interaction only for the estimable comparison (UGI versus CT: interaction OR 0.90, 95% CI 0.33–2.43, p=0.84), present volvulus-stratified rates with exact confidence intervals, and state: "We draw no directional conclusion from that last cell: six children cannot support one, ultrasound was chosen in only 6 of the 62 children without volvulus, and the model does not converge."</w:t>
      </w:r>
    </w:p>
    <w:p>
      <w:pPr>
        <w:pStyle w:val="Heading2"/>
      </w:pPr>
      <w:r>
        <w:t>R2.10. "The temporal improvement in ultrasound performance deserves more attention… Was the technology changed? Were paediatric radiologists introduced? Did the protocol change? Did reporting templates change? Did the use of the whirlpool sign increase? This could be one of the most valuable findings of the paper."</w:t>
      </w:r>
    </w:p>
    <w:p>
      <w:pPr>
        <w:spacing w:after="160"/>
      </w:pPr>
      <w:r>
        <w:t>We agree, and we pursued it. New Table 6 and a dedicated Results subsection report the following.</w:t>
      </w:r>
    </w:p>
    <w:p>
      <w:pPr>
        <w:spacing w:after="160"/>
      </w:pPr>
      <w:r>
        <w:t>Ultrasound utilisation among operated children rose from 13% (39/299) to 48% (80/166) between eras, and no gastrointestinal ultrasound in this cohort predates 2016. The recorded examination type shifted markedly: studies recorded as abdominal great-vessel ultrasound rose from 28.2% to 62.5% (Fisher p&lt;0.001) while gastrointestinal ultrasound fell from 74.4% to 48.8%; whirlpool documentation rose from 41.0% to 53.8%, and SMA–SMV documentation from 5.1% to 10.0% (still very low in both eras).</w:t>
      </w:r>
    </w:p>
    <w:p>
      <w:pPr>
        <w:spacing w:after="160"/>
      </w:pPr>
      <w:r>
        <w:t>The key analysis is a mediation-style model. Later era was associated with detection (OR 2.27, 95% CI 1.04–4.96, p=0.039). Adding the vessel-focused examination indicator reduced the era term to 1.56 (0.67–3.62, p=0.30), while the examination indicator carried an OR of 3.46 (1.56–7.67, p=0.002). Detection with a vessel-focused study was essentially identical in the two eras (72.7% versus 70.0%), whereas without it, it was 28.6% and 46.7%. In other words, the improvement is explained by what was done, not by when it was done.</w:t>
      </w:r>
    </w:p>
    <w:p>
      <w:pPr>
        <w:spacing w:after="160"/>
      </w:pPr>
      <w:r>
        <w:t>The same analysis for CT shows partial mediation by contrast enhancement (era OR 2.26 falling to 1.98; enhancement OR 5.53), and for the UGI series, whose technique did not change materially, there is no era effect at all (OR 1.38, p=0.30) — an internal consistency check we found reassuring.</w:t>
      </w:r>
    </w:p>
    <w:p>
      <w:pPr>
        <w:spacing w:after="160"/>
      </w:pPr>
      <w:r>
        <w:t>On the questions we could not answer from the record — scanner replacement, staffing changes, introduction of dedicated paediatric radiologists — we have not speculated. A marked placeholder in the Methods asks the author group to confirm and date any such change, and we would add it if one can be documented.</w:t>
      </w:r>
    </w:p>
    <w:p>
      <w:pPr>
        <w:pStyle w:val="Heading2"/>
      </w:pPr>
      <w:r>
        <w:t>R2.M1. "Minor: terminology — consistently distinguish malrotation, midgut volvulus, and malrotation with volvulus. The whirlpool sign is primarily a sign of volvulus."</w:t>
      </w:r>
    </w:p>
    <w:p>
      <w:pPr>
        <w:spacing w:after="160"/>
      </w:pPr>
      <w:r>
        <w:t>A terminology paragraph has been added to the Methods defining the three entities and stating that the whirlpool sign is a sign of volvulus rather than of malrotation in isolation. Every results sentence has been checked against it. This distinction is now load-bearing rather than incidental: the paper's central claim is precisely that routine ultrasound in our department detected volvulus and not malrotation.</w:t>
      </w:r>
    </w:p>
    <w:p>
      <w:pPr>
        <w:pStyle w:val="Heading2"/>
      </w:pPr>
      <w:r>
        <w:t>R2.M2. "Minor: Figure 3 presents the detection rates well, but the distinction between denominators should be made extremely prominent in the figure itself, because readers may otherwise visually compare the percentages as though they represented equivalent populations."</w:t>
      </w:r>
    </w:p>
    <w:p>
      <w:pPr>
        <w:spacing w:after="160"/>
      </w:pPr>
      <w:r>
        <w:t>Figure 3 has been redrawn. Each row label now carries its denominator in bold beneath the modality name; the numerator and denominator are printed beside every estimate; and the figure title itself reads: "Each bar has a DIFFERENT denominator drawn from a DIFFERENT, indication-selected group of children. These are not sensitivities and must not be compared with one another as if they were." The caption repeats it. Figures 1 and 2 carry equivalent warnings.</w:t>
      </w:r>
    </w:p>
    <w:p>
      <w:pPr>
        <w:pStyle w:val="Heading2"/>
      </w:pPr>
      <w:r>
        <w:t>R2.L1. "Most important literature issue: engage more fully with the contemporary ultrasound literature — the 2021 systematic review, the 2025 multicentre study (most accurate sign was visualisation of the intraperitoneal third portion of the duodenum), and Binu et al. 2021, which examined 539 children undergoing ultrasound for clinical suspicion rather than beginning with surgically confirmed malrotation. Technique and expertise are critical determinants."</w:t>
      </w:r>
    </w:p>
    <w:p>
      <w:pPr>
        <w:spacing w:after="160"/>
      </w:pPr>
      <w:r>
        <w:t>The Introduction has been rewritten around this literature: it now opens on the move toward ultrasound, cites the 93–97% figures and the pooled 94%/100% meta-analysis, cites Binu et al. as the first-line study in children with clinical suspicion rather than confirmed disease, and — importantly — states that this performance is attributed not to ultrasound in the abstract but to specific technical elements: D3 position, the duodenojejunal junction, the SMA–SMV relationship, enteric fluid and dynamic assessment.</w:t>
      </w:r>
    </w:p>
    <w:p>
      <w:pPr>
        <w:spacing w:after="160"/>
      </w:pPr>
      <w:r>
        <w:t>Four references have been added: Binu et al. (J Pediatr Surg 2021;56:2224–2228), Menten et al. on the retroperitoneal position of D3 (Pediatr Radiol 2012;42:941–945), Hennessey et al. on D3 assessment with water instillation (Pediatr Radiol 2014;44:387–391), and — as a deliberate counterweight — Karmazyn and Cohen (Pediatr Radiol 2015;45:138–139), who argue that D3 position alone cannot support a confident diagnosis of malrotation. We cite the last of these in the Discussion so that our own argument about D3 is not presented one-sidedly.</w:t>
      </w:r>
    </w:p>
    <w:p>
      <w:pPr>
        <w:spacing w:after="160"/>
      </w:pPr>
      <w:r>
        <w:t>The Discussion now frames the comparison exactly as the reviewer suggests: these studies do not invalidate our data; they show that technique and expertise are the critical determinants, and our data are a quantified instance of what happens when the technique is absent.</w:t>
      </w:r>
    </w:p>
    <w:p>
      <w:pPr>
        <w:pStyle w:val="Heading1"/>
      </w:pPr>
      <w:r>
        <w:t>Additional changes made on our own initiative</w:t>
      </w:r>
    </w:p>
    <w:p>
      <w:pPr>
        <w:spacing w:after="160"/>
      </w:pPr>
      <w:r>
        <w:t>*Corrections to cohort descriptors.* In re-deriving the analysis dataset from source records for the new analyses, we found that patient age had previously been linked to the wrong hospital admission for a minority of children with multiple admissions. Correcting the linkage (each operative record is now linked to the admission containing that operation; the operation date falls within the linked admission for all 465 children) changes the median age at operation from 11 to 13 days, neonates from 304 to 302, the era split from 298/167 to 299/166, and documented volvulus from 400 to 403. No inference changes. All imaging denominators (301 UGI, 320 CT, 119 ultrasound, 59 with all three, 410 imaged, 740 index examinations) and all detection counts are unchanged.</w:t>
      </w:r>
    </w:p>
    <w:p>
      <w:pPr>
        <w:spacing w:after="160"/>
      </w:pPr>
      <w:r>
        <w:t>*Volvulus-specific-sign analysis softened.* On re-analysis with an explicit, pre-specified text definition of a volvulus-specific sign, the previously reported significant advantage of ultrasound over CT in the paired volvulus cohort (p=0.041) was not robust to the sign definition (p=0.13 under our specification). We have therefore moved this analysis to Online Resource 2 and removed the claim of a significant difference; it is described as exploratory and sensitive to how the sign is defined.</w:t>
      </w:r>
    </w:p>
    <w:p>
      <w:pPr>
        <w:spacing w:after="160"/>
      </w:pPr>
      <w:r>
        <w:t>*Interaction test.* The previously reported ultrasound-by-volvulus p value of 0.580 has been removed as uninterpretable (complete separation), as described in R2.9.</w:t>
      </w:r>
    </w:p>
    <w:p>
      <w:pPr>
        <w:spacing w:after="160"/>
      </w:pPr>
      <w:r>
        <w:t>*Analysis environment.* Analyses were re-run in Python 3.12 with statsmodels 0.15 and SciPy 1.17; the version numbers in the Methods have been updated accordingly.</w:t>
      </w:r>
    </w:p>
    <w:p>
      <w:pPr>
        <w:spacing w:after="160"/>
      </w:pPr>
      <w:r>
        <w:t>We hope the Editor and reviewers will find that the revised manuscript answers a question it is entitled to answer, that its central claim is now the one Reviewer 1 identified, and that the mechanism behind that claim is documented rather than asserted. We are grateful for reviews that made the paper better by making it narrower.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