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"Routine Ultrasound Reports for Pediatric Intestinal Malrotation Rarely Document Duodenal Landmarks: A Single-Center Audit"</w:t>
      </w:r>
    </w:p>
    <w:p>
      <w:pPr>
        <w:spacing w:after="160"/>
      </w:pPr>
      <w:r>
        <w:rPr>
          <w:b/>
        </w:rPr>
        <w:t>Table S18.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The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does not show that duodenal position was assessed. As in the ultrasound audit in the main manuscript, these are associations within routine reports and are not adjusted for indication, age or era: a report that describes a mesenteric whirl is likely to conclude that malrotation is present. The tabulation shows how often each element was documented; it does not measure the strength of these associations.</w:t>
      </w:r>
    </w:p>
    <w:p>
      <w:pPr>
        <w:spacing w:after="160"/>
      </w:pPr>
      <w:r>
        <w:t>Two features of these reports are relevant to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was used in only 16.0%. Almost all CT reports that described a mesenteric whirl were classified as positive (Table S18), but only about one in three CT reports described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2026-10-15T14:37:36Z</dcterms:created>
  <dcterms:modified xsi:type="dcterms:W3CDTF">2026-10-15T14:37:36Z</dcterms:modified>
  <cp:category/>
  <cp:contentStatus/>
  <dc:identifier/>
  <dc:language/>
  <cp:version/>
</cp:coreProperties>
</file>