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投稿操作单</w:t>
      </w:r>
    </w:p>
    <w:p>
      <w:pPr>
        <w:spacing w:after="160"/>
      </w:pPr>
      <w:r>
        <w:t>稿件：Routine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60"/>
      </w:pPr>
      <w:r>
        <w:t>日期已填 2026 年 9 月 5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6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6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60"/>
      </w:pPr>
      <w:r>
        <w:t>3,000 词，含 4 表 3 图（图已内嵌便于评审阅读）。文中无任何作者身份信息。</w:t>
      </w:r>
    </w:p>
    <w:p>
      <w:pPr>
        <w:spacing w:after="160"/>
      </w:pPr>
      <w:r>
        <w:rPr>
          <w:b/>
        </w:rPr>
        <w:t>4. Figures（单独上传，300 dpi PNG）</w:t>
      </w:r>
    </w:p>
    <w:p>
      <w:pPr>
        <w:spacing w:after="160"/>
      </w:pPr>
      <w:r>
        <w:t>• `Fig1_study_flow.png` → Figure 1（流程图）</w:t>
      </w:r>
    </w:p>
    <w:p>
      <w:pPr>
        <w:spacing w:after="160"/>
      </w:pPr>
      <w:r>
        <w:t>• `Fig2_detection_by_modality.png` → Figure 2（各模态检出，分母醒目标注）</w:t>
      </w:r>
    </w:p>
    <w:p>
      <w:pPr>
        <w:spacing w:after="160"/>
      </w:pPr>
      <w:r>
        <w:t>• `Fig3_ultrasound_report_audit.png` → Figure 3（超声报告内容审计，核心图）</w:t>
      </w:r>
    </w:p>
    <w:p>
      <w:pPr>
        <w:spacing w:after="160"/>
      </w:pPr>
      <w:r>
        <w:t>文件名已与正文图号一一对应，按名字上传即可。</w:t>
      </w:r>
    </w:p>
    <w:p>
      <w:pPr>
        <w:spacing w:after="160"/>
      </w:pPr>
      <w:r>
        <w:rPr>
          <w:b/>
        </w:rPr>
        <w:t>5. Supplementary / Online Resources</w:t>
      </w:r>
    </w:p>
    <w:p>
      <w:pPr>
        <w:spacing w:after="160"/>
      </w:pPr>
      <w:r>
        <w:t>• `Online_Resource_1_NLP_and_report_audit.docx` —— 算法规则、验证、内容审计正则表</w:t>
      </w:r>
    </w:p>
    <w:p>
      <w:pPr>
        <w:spacing w:after="16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60"/>
      </w:pPr>
      <w:r>
        <w:t>• `Online_Resource_2_models_and_subgroups.docx` —— GEE 模型、配对亚组、分层分析（内含 Fig. S1）</w:t>
      </w:r>
    </w:p>
    <w:p>
      <w:pPr>
        <w:spacing w:after="160"/>
      </w:pPr>
      <w:r>
        <w:t>• `FigS1_paired_subgroup.png` → Fig. S1（附录图，配对亚组）</w:t>
      </w:r>
    </w:p>
    <w:p>
      <w:pPr>
        <w:spacing w:after="160"/>
      </w:pPr>
      <w:r>
        <w:t>• `Online_Resource_3_CT_and_UGI_content_audit.docx`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6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6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6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60"/>
      </w:pPr>
      <w:r>
        <w:t>Duodenal landmarks appeared in three of 119 routine ultrasound examinations.</w:t>
      </w:r>
    </w:p>
    <w:p>
      <w:pPr>
        <w:spacing w:after="160"/>
      </w:pPr>
      <w:r>
        <w:t>A whirlpool sign was recorded in only half the children with confirmed volvulus.</w:t>
      </w:r>
    </w:p>
    <w:p>
      <w:pPr>
        <w:spacing w:after="160"/>
      </w:pPr>
      <w:r>
        <w:t>Detection rose with a change in examination type as much as with calendar era.</w:t>
      </w:r>
    </w:p>
    <w:p>
      <w:pPr>
        <w:spacing w:after="16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60"/>
      </w:pPr>
      <w:r>
        <w:t>Departments adopting ultrasound-first pathways for malrotation should audit whether their own reports document the duodenal landmarks that produced the published sensitivities; in this department they almost never did.</w:t>
      </w:r>
    </w:p>
    <w:p>
      <w:pPr>
        <w:spacing w:after="160"/>
      </w:pPr>
      <w:r>
        <w:rPr>
          <w:b/>
        </w:rPr>
        <w:t>Authors</w:t>
      </w:r>
      <w:r>
        <w:t>（按顺序录入，共 10 位；第一作者 Jun Shu，通讯作者 Jun Yang）：</w:t>
      </w:r>
    </w:p>
    <w:p>
      <w:pPr>
        <w:spacing w:after="160"/>
      </w:pPr>
      <w:r>
        <w:t>1. Jun Shu — 单位 ①（第一作者）</w:t>
      </w:r>
    </w:p>
    <w:p>
      <w:pPr>
        <w:spacing w:after="160"/>
      </w:pPr>
      <w:r>
        <w:t>2. Guanghua Zhang — 单位 ①</w:t>
      </w:r>
    </w:p>
    <w:p>
      <w:pPr>
        <w:spacing w:after="160"/>
      </w:pPr>
      <w:r>
        <w:t>3. Fei Peng — 单位 ①</w:t>
      </w:r>
    </w:p>
    <w:p>
      <w:pPr>
        <w:spacing w:after="160"/>
      </w:pPr>
      <w:r>
        <w:t>4. Kai Zheng — 单位 ①</w:t>
      </w:r>
    </w:p>
    <w:p>
      <w:pPr>
        <w:spacing w:after="160"/>
      </w:pPr>
      <w:r>
        <w:t>5. Hongxi Guo — 单位 ①</w:t>
      </w:r>
    </w:p>
    <w:p>
      <w:pPr>
        <w:spacing w:after="160"/>
      </w:pPr>
      <w:r>
        <w:t>6. Haiyan Lei — 单位 ①</w:t>
      </w:r>
    </w:p>
    <w:p>
      <w:pPr>
        <w:spacing w:after="160"/>
      </w:pPr>
      <w:r>
        <w:t>7. Haibin Wang — 单位 ①</w:t>
      </w:r>
    </w:p>
    <w:p>
      <w:pPr>
        <w:spacing w:after="160"/>
      </w:pPr>
      <w:r>
        <w:t>8. Zhengliang Meng — 单位 ②</w:t>
      </w:r>
    </w:p>
    <w:p>
      <w:pPr>
        <w:spacing w:after="160"/>
      </w:pPr>
      <w:r>
        <w:t>9. Hongqiang Bian — 单位 ①</w:t>
      </w:r>
    </w:p>
    <w:p>
      <w:pPr>
        <w:spacing w:after="160"/>
      </w:pPr>
      <w:r>
        <w:t>10. Jun Yang 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ORCID</w:t>
      </w:r>
      <w:r>
        <w:t>：仅 Jun Shu（0009-0001-3003-1452）与 Jun Yang（0009-0006-0669-4340）已知；其余八位若有 ORCID，在系统里各自补填，非必填。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6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6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6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60"/>
      </w:pPr>
      <w:r>
        <w:rPr>
          <w:b/>
        </w:rPr>
        <w:t>投稿信的前次评审披露段：已删除。</w:t>
      </w:r>
      <w:r>
        <w:t xml:space="preserve"> 投稿信不再提及前次投稿与评审。若 Editorial Manager 的投稿流程中出现"是否曾在其他期刊投稿"一类的必答问项，据实回答即可，但不必在投稿信正文中主动展开。</w:t>
      </w:r>
    </w:p>
    <w:p>
      <w:pPr>
        <w:spacing w:after="16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60"/>
      </w:pPr>
      <w:r>
        <w:t>以下各项均已核对完毕，上传时确认一遍即可：</w:t>
      </w:r>
    </w:p>
    <w:p>
      <w:pPr>
        <w:spacing w:after="16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60"/>
      </w:pPr>
      <w:r>
        <w:t>2. 正文 3,000 词，摘要 248 词，Critical relevance statement 28 词。</w:t>
      </w:r>
    </w:p>
    <w:p>
      <w:pPr>
        <w:spacing w:after="160"/>
      </w:pPr>
      <w:r>
        <w:t>3. 摘要为 Objectives / Methods / Results / Conclusion 四段式。</w:t>
      </w:r>
    </w:p>
    <w:p>
      <w:pPr>
        <w:spacing w:after="160"/>
      </w:pPr>
      <w:r>
        <w:t>4. Key Points 三条，每条 9–14 词，未复用摘要或正文原句；与正文 Key Points 节逐字一致。</w:t>
      </w:r>
    </w:p>
    <w:p>
      <w:pPr>
        <w:spacing w:after="160"/>
      </w:pPr>
      <w:r>
        <w:t>5. 图题 ≤15 词、图注 ≤300 词，且都在正文里而非图片文件内。</w:t>
      </w:r>
    </w:p>
    <w:p>
      <w:pPr>
        <w:spacing w:after="160"/>
      </w:pPr>
      <w:r>
        <w:t>6. 图片文件名与图号一致，按名字对号入座即可。</w:t>
      </w:r>
    </w:p>
    <w:p>
      <w:pPr>
        <w:spacing w:after="160"/>
      </w:pPr>
      <w:r>
        <w:t>7. Title Page 与系统表单里的 Declarations 完全一致。</w:t>
      </w:r>
    </w:p>
    <w:p>
      <w:pPr>
        <w:spacing w:after="160"/>
      </w:pPr>
      <w:r>
        <w:t>8. 投稿信日期已设为 2026 年 9 月 3 日。</w:t>
      </w:r>
    </w:p>
    <w:p>
      <w:pPr>
        <w:pStyle w:val="Heading1"/>
      </w:pPr>
      <w:r>
        <w:t>七、投稿后的预期</w:t>
      </w:r>
    </w:p>
    <w:p>
      <w:pPr>
        <w:spacing w:after="16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6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