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2,995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vessel-focused examination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were absent from every one of 119 routine malrotation ultrasound reports over 13.5 years.</w:t>
      </w:r>
    </w:p>
    <w:p>
      <w:pPr>
        <w:spacing w:after="160"/>
      </w:pPr>
      <w:r>
        <w:t>• Whether a whirlpool sign was recorded separated a positive from a negative ultrasound report almost completely.</w:t>
      </w:r>
    </w:p>
    <w:p>
      <w:pPr>
        <w:spacing w:after="160"/>
      </w:pPr>
      <w:r>
        <w:t>• Improvement over time followed a change in examination type, not the passage of calendar time.</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substantially toward ultrasound: contemporary series report sensitivities of 93–97% and specificities of 96–100%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course of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because that term would invite the inference that the figure applies to children investigated for suspected malrotation. Specificity, predictive values and any accuracy-based ranking of the modalities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performed and reported during routine care by radiologists unaware of the operative findings but not blinded to clinical history or previous imaging, within the general paediatric ultrasound service rather than by a designated malrotation reader group. Reports were free text; no structured malrotation template was in use at any point, and no documented revision of the ultrasound protocol could be identified in departmental records ⟦AUTHORS: confirm and, if a protocol or equipment change did occur, give its date⟧. Because CT was ascertained from report text rather than a dose registry, radiation dose metrics could not be captured (see Limitations).</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bowel gas limiting the study, caecal position and bedside performance; for CT and the UGI series, the corresponding landmarks (full dictionary, Online Resource 1). This audit is a lower bound on what was performed: an element assessed but not written down is indistinguishable here from one never assessed.</w:t>
      </w:r>
    </w:p>
    <w:p>
      <w:pPr>
        <w:spacing w:after="160"/>
      </w:pPr>
      <w:r>
        <w:t>An examination was positive when its conclusion raised malrotation, including tentative phrasing, or a modality-appropriate diagnostic sign; explicit negation was negative and isolated gastric volvulus was not counted. Because tentative phrasing is standard in our department, we tabulated the certainty tier of every positive conclusion and repeated the principal analyses after reclassifying all "possible"-tier conclusions as negative.</w:t>
      </w:r>
    </w:p>
    <w:p>
      <w:pPr>
        <w:spacing w:after="160"/>
      </w:pPr>
      <w:r>
        <w:t>Report text was classified with a rule-based, clause-level algorithm with explicit negation handling, informed by natural language processing approaches in radiology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adjudicated labels superseded algorithmic ones. Validation rested on one adjudicator, so interobserver agreement could not be estimated.</w:t>
      </w:r>
    </w:p>
    <w:p>
      <w:pPr>
        <w:pStyle w:val="Heading2"/>
      </w:pPr>
      <w:r>
        <w:t>Statistical analysis</w:t>
      </w:r>
    </w:p>
    <w:p>
      <w:pPr>
        <w:spacing w:after="160"/>
      </w:pPr>
      <w:r>
        <w:t>Detection rates are presented with Wilson 95% confidence intervals (CIs), with their denominators shown wherever the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 exchangeable working correlation and cluster-robust standard errors, unadjusted and adjusted for era (2012–2018 vs 2019–2026) and age category. A pre-specified modality-by-volvulus interaction was not estimable across all three modalities, because no ultrasound examination was positive among the six children without volvulus (complete separation). In the subgroup receiving all three modalities, detection was compared with Cochran's Q and the exact McNemar test, repeated where all three examinations fell within 48 h and 24 h (Online Resource 2). Determinants of the temporal change were examined with modality-specific logistic models of detection on era, before and after adding that modality's content variable (for ultrasound, whether the examination was recorded as a mesenteric-vessel study;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Between December 2012 and June 2026, 465 children with surgically confirmed malrotation were included; 352 (75.7%) were male, median age at operation was 13 days (interquartile range 7 days to 2.8 months,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of the colon, 22 ultrasound of another region and 7 CT of another region. Only 5 had no in-hospital preoperative study of any type, and each of their admission records documented imaging performed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among operated children rising from 13% to 48%. Test sequence differed too — the UGI series was the final preoperative test in 75.1% of children who received it, against 19.2% for CT and 36.8% for ultrasound, and its detection was higher in that position (80.4% vs 70.5%) — so it functioned as the confirmatory study immediately preceding operation, a feature of the pathway rather than a property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These proportions rest on indication-selected denominators drawn from overlapping groups and are not a ranking of the tests. In the GEE model CT and ultrasound had lower odds of a positive report than the UGI series (odds ratio 0.31 [0.22–0.44] and 0.33 [0.21–0.50]; both p&lt;0.001), essentially unchanged after adjustment for era and age; these coefficients absorb the indication for the test, its pathway position and its content (Online Resource 2).</w:t>
      </w:r>
    </w:p>
    <w:p>
      <w:pPr>
        <w:spacing w:after="160"/>
      </w:pPr>
      <w:r>
        <w:t>Tentative phrasing was common and differed by modality: 35.0% (UGI), 36.3% (CT) and 49.2% (ultrasound) of positive conclusions used possible wording ("suspected", "cannot be excluded", "?"), none of which was a false positive since every child had confirmed disease. Reclassifying all possible-tier conclusions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ure3_detection.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where the mesenteric-vessel relationship was described, 10 of 10 were positive. Detection was 70.5% (43/61) for examinations recorded as abdominal great-vessel studies, 47.1% (32/68) for gastrointestinal ultrasound and 22.2% for the nine bedside examinations. In this cohort ultrasound diagnosed malrotation when, and essentially only when, it saw the twisted pedicle of an active volvulus.</w:t>
      </w:r>
    </w:p>
    <w:p>
      <w:pPr>
        <w:spacing w:after="160"/>
      </w:pPr>
      <w:r>
        <w:t>The audits of CT and the UGI series show the same principle with different content (Online Resource 3): a mesenteric whirl was described in 36.2% of CT reports and the duodenojejunal junction in 54.5% of UGI reports, of which 98.3% and 98.2% respectively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ure4_us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what the examination was: studies recorded as abdominal great-vessel ultrasound rose from 28.2% to 62.5% (Fisher p&lt;0.001) while gastrointestinal ultrasound fell from 74.4% to 48.8%, and whirlpool documentation rose from 41.0% to 53.8%. Later era was associated with detection (odds ratio 2.27 [1.04–4.96], p=0.039); adding the vessel-focused indicator reduced the era term to 1.56 (0.67–3.62, p=0.30) while the indicator carried an odds ratio of 3.46 (1.56–7.67, p=0.002). Detection with a vessel-focused study was similar in both eras (72.7% and 70.0%), whereas without it, 28.6% and 46.7%. The improvement is better described as a change in what was done than in when it was done.</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Vessel-focused examination 3.46 (1.56–7.67) (p=0.002)</w:t>
            </w:r>
          </w:p>
        </w:tc>
      </w:tr>
    </w:tbl>
    <w:p>
      <w:pPr>
        <w:spacing w:after="160"/>
      </w:pPr>
      <w:r>
        <w:rPr>
          <w:i/>
          <w:sz w:val="17"/>
        </w:rPr>
        <w:t>Modality-specific logistic models. For ultrasound the content variable is whether the examination was recorded as an abdominal great-vessel study rather than as gastrointestinal ultrasound; for CT it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They are not a random sample but a subgroup in whom the diagnosis had remained uncertain, and were more severely and more recently affected than the rest (96.6% volvulus vs 86.6%; 83.1% neonates vs 65.5%); the UGI series was positive in 76.3%, ultrasound in 52.5% and CT in 47.5% (Cochran's Q p=0.001), a pattern unchanged when restricted to examinations within 48 h or 24 h of each other (Online Resource 2). Detection rose with age for the UGI series and CT but not ultrasound.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were documented in none of 119 examinations, the mesenteric-vessel relationship in 8.4%, enteric fluid in one. What the reports did contain was the whirlpool sign, in about half, and detection followed it almost perfectly — 100% when recorded, 10% when not. Ultrasound for malrotation here functioned as a test for midgut volvulus: a child whose midgut was not actively twisted at the moment of scanning was unlikely to be identified.</w:t>
      </w:r>
    </w:p>
    <w:p>
      <w:pPr>
        <w:spacing w:after="160"/>
      </w:pPr>
      <w:r>
        <w:t>This reframes the most-cited number in our data. Ultrasound named malrotation in 54.6% of surgically confirmed children who underwent it, against published sensitivities of 93–97% and a pooled 94% in meta-analysis [8, 9, 12, 19]. It would be wrong to read that contrast as evidence that ultrasound performs poorly: the published figures were obtained by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 our data are a quantified instance of that heterogeneity, with the mechanism visible in the record.</w:t>
      </w:r>
    </w:p>
    <w:p>
      <w:pPr>
        <w:spacing w:after="160"/>
      </w:pPr>
      <w:r>
        <w:t>The temporal analysis points the same way. Detection improved from 41% to 61%, and the improvement was not a property of calendar time: once the shift toward mesenteric-vessel-focused examination was taken into account the era effect fell to a non-significant 1.56, while examination type carried an odds ratio of 3.46, and detection with a vessel-focused study was about 70% in both eras. The department improved because the examination changed. This suggests that the remaining gap to 93–97% is plausibly attributable to the elements that still never appeared in the reports — D3, the duodenojejunal junction and enteric fluid [20, 21] — although whether adding them would close it is a hypothesis this design cannot test, and the counter-argument that D3 position alone cannot support a confident diagnosis deserves weight [22]. The same content-dependence held elsewhere: the UGI series was the only modality documenting the landmark that defines malrotation in most examinations, which, rather than any intrinsic superiority demonstrated here, is the most economical explanation of its higher detection rate.</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then confirmed the diagnosis — an incorporation bias asymmetrical between modalities. Pathway position differed, the UGI series being the last examination before operation in 75% of children who received it. And the modalities were used in different children for different reasons (Table 1), which no adjustment for the few recoverable variables can undo.</w:t>
      </w:r>
    </w:p>
    <w:p>
      <w:pPr>
        <w:spacing w:after="160"/>
      </w:pPr>
      <w:r>
        <w:t>This study does not rank modalities and does not resolve the ultrasound-first debate; it measures the distance between diagnostic performance as established in the literature and as delivered by a real department's reports over more than a decade, with a mechanism open to correction. Departments considering an ultrasound-first pathway on the strength of sensitivities of 93–97% should first establish that their own examinations resemble those that produced the figures. A structured malrotation ultrasound report requiring explicit statements about D3, the duodenojejunal junction, the vessel relationship and study adequacy would make such a deficit visible prospectively rather than 13 years later; where such an examination cannot be delivered, a negative ultrasound should not be taken to exclude malrotation in a child with persistent clinical suspicion.</w:t>
      </w:r>
    </w:p>
    <w:p>
      <w:pPr>
        <w:pStyle w:val="Heading2"/>
      </w:pPr>
      <w:r>
        <w:t>Limitations</w:t>
      </w:r>
    </w:p>
    <w:p>
      <w:pPr>
        <w:spacing w:after="160"/>
      </w:pPr>
      <w:r>
        <w:t>This is not a diagnostic accuracy study: the cohort was assembled on surgically confirmed disease, so there are no test-negative children,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The reference standard was not independent of the index tests, modality choice and the decision to operate were clinically entangled, and the 55 children without any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but our figures cannot be attributed to the imaging examination alone. Validation rested on one adjudicator; comparisons were not adjusted for multiplicity; case ascertainment derived from operative-record text; and radiation dose metrics could not be captured. Finally, whether this single centre's deficit generalises is unknown — the question most worth asking next, since the same audit is inexpensive to repeat wherever routine reports are stored electronically.</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three modalities and should not be used to argue against ultrasound-first pathways. They argue instead that a department's own technique and reporting content determine whether published ultrasound performance is achievable locally, and that this is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and the per-modality distribution of positive, negative and tentative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w:t>
      </w:r>
      <w:r>
        <w:t xml:space="preserve"> Study flow diagram showing assembly of the surgically confirmed malrotation cohort, availability of each preoperative index test, and the imaging actually received by the 55 children who had none of the three index examinations</w:t>
      </w:r>
    </w:p>
    <w:p>
      <w:pPr>
        <w:spacing w:after="160"/>
      </w:pPr>
      <w:r>
        <w:rPr>
          <w:b/>
        </w:rPr>
        <w:t>Fig. 2</w:t>
      </w:r>
      <w:r>
        <w:t xml:space="preserve"> Report-level detection of malrotation by each modality among children with a preoperative index examination (Wilson 95% confidence intervals). Each estimate has its own denominator, drawn from a different, indication-selected group of children; the rates are not directly comparable between modalities and do not constitute sensitivity</w:t>
      </w:r>
    </w:p>
    <w:p>
      <w:pPr>
        <w:spacing w:after="160"/>
      </w:pPr>
      <w:r>
        <w:rPr>
          <w:b/>
        </w:rPr>
        <w:t>Fig. 3</w:t>
      </w:r>
      <w:r>
        <w:t xml:space="preserve"> Content of the 119 routine ultrasound index reports (a) and report-level detection conditional on that content (b).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