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2,994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Graphical Abstract</w:t>
      </w:r>
      <w:r>
        <w:t xml:space="preserve"> —— `Graphical_Abstract.tif`（备份 `Graphical_Abstract.png`）</w:t>
      </w:r>
    </w:p>
    <w:p>
      <w:pPr>
        <w:spacing w:after="160"/>
      </w:pPr>
      <w:r>
        <w:t>单幅 300 dpi、RGB、LZW 压缩 TIFF，4052 × 1813 px。图上已注明本研究为 case-only 设计、这些是报告层面检出率而非敏感度——单独看到这张图的人不会误读成敏感度。</w:t>
      </w:r>
    </w:p>
    <w:p>
      <w:pPr>
        <w:spacing w:after="160"/>
      </w:pPr>
      <w:r>
        <w:rPr>
          <w:b/>
        </w:rPr>
        <w:t>投稿前请在系统里确认这一项</w:t>
      </w:r>
      <w:r>
        <w:t>：Insights into Imaging 的官方页面（springeropen、journals.myesr.org、i3-journal.org）在制作时均无法访问，检索到的两处说法一处称「所有投稿必交」、一处称「可选、按期刊模板」。文件已备好，无论哪种都能直接上传；若系统要求套用期刊自己的模板，把这张图作为内容填进模板即可。</w:t>
      </w:r>
    </w:p>
    <w:p>
      <w:pPr>
        <w:spacing w:after="160"/>
      </w:pPr>
      <w:r>
        <w:rPr>
          <w:b/>
        </w:rPr>
        <w:t>6.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7.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whirlpool sign was recorded in only half the children with confirmed volvulus.</w:t>
      </w:r>
    </w:p>
    <w:p>
      <w:pPr>
        <w:spacing w:after="160"/>
      </w:pPr>
      <w:r>
        <w:t>Detection rose with a change in examination type as much as with calendar era.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Departments adopting ultrasound-first pathways for malrotation should audit whether their own reports document the duodenal landmarks that produced the published sensitivities; in this department they almost never did.</w:t>
      </w:r>
    </w:p>
    <w:p>
      <w:pPr>
        <w:spacing w:after="160"/>
      </w:pPr>
      <w:r>
        <w:rPr>
          <w:b/>
        </w:rPr>
        <w:t>Authors</w:t>
      </w:r>
      <w:r>
        <w:t>（按顺序录入，共 10 位；第一作者 Jun Shu，通讯作者 Jun Yang）：</w:t>
      </w:r>
    </w:p>
    <w:p>
      <w:pPr>
        <w:spacing w:after="160"/>
      </w:pPr>
      <w:r>
        <w:t>1. Jun Shu — 单位 ①（第一作者）</w:t>
      </w:r>
    </w:p>
    <w:p>
      <w:pPr>
        <w:spacing w:after="160"/>
      </w:pPr>
      <w:r>
        <w:t>2. Guanghua Zhang — 单位 ①</w:t>
      </w:r>
    </w:p>
    <w:p>
      <w:pPr>
        <w:spacing w:after="160"/>
      </w:pPr>
      <w:r>
        <w:t>3. Fei Peng — 单位 ①</w:t>
      </w:r>
    </w:p>
    <w:p>
      <w:pPr>
        <w:spacing w:after="160"/>
      </w:pPr>
      <w:r>
        <w:t>4. Kai Zheng — 单位 ①</w:t>
      </w:r>
    </w:p>
    <w:p>
      <w:pPr>
        <w:spacing w:after="160"/>
      </w:pPr>
      <w:r>
        <w:t>5. Hongxi Guo — 单位 ①</w:t>
      </w:r>
    </w:p>
    <w:p>
      <w:pPr>
        <w:spacing w:after="160"/>
      </w:pPr>
      <w:r>
        <w:t>6. Haiyan Lei — 单位 ①</w:t>
      </w:r>
    </w:p>
    <w:p>
      <w:pPr>
        <w:spacing w:after="160"/>
      </w:pPr>
      <w:r>
        <w:t>7. Haibin Wang — 单位 ①</w:t>
      </w:r>
    </w:p>
    <w:p>
      <w:pPr>
        <w:spacing w:after="160"/>
      </w:pPr>
      <w:r>
        <w:t>8. Zhengliang Meng — 单位 ②</w:t>
      </w:r>
    </w:p>
    <w:p>
      <w:pPr>
        <w:spacing w:after="160"/>
      </w:pPr>
      <w:r>
        <w:t>9. Hongqiang Bian — 单位 ①</w:t>
      </w:r>
    </w:p>
    <w:p>
      <w:pPr>
        <w:spacing w:after="160"/>
      </w:pPr>
      <w:r>
        <w:t>10. Jun Yang 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ORCID</w:t>
      </w:r>
      <w:r>
        <w:t>：仅 Jun Shu（0009-0001-3003-1452）与 Jun Yang（0009-0006-0669-4340）已知；其余八位若有 ORCID，在系统里各自补填，非必填。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2,994 词，摘要 248 词，Critical relevance statement 28 词。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9–14 词，未复用摘要或正文原句；与正文 Key Points 节逐字一致。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5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