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1. Text-classification algorithm and report-content audit</w:t>
      </w:r>
    </w:p>
    <w:p>
      <w:pPr>
        <w:spacing w:after="160"/>
      </w:pPr>
      <w:r>
        <w:t>Supplement to: "Routine ultrasound reports for intestinal malrotation rarely document duodenal landmarks: a report-level audit of 740 preoperative examinations in 465 surgically confirmed children"</w:t>
      </w:r>
    </w:p>
    <w:p>
      <w:pPr>
        <w:spacing w:after="160"/>
      </w:pPr>
      <w:r>
        <w:t>⟦AUTHORS: sections A–F below express the classification rules as applied in this study. Please verify each entry against the production script before submission and add any term used by your department that is not listed.⟧</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The two operations are independent: content coding never influenced the positive/negative label, and vice versa. Labels were subsequently adjudicated by a blinded paediatric surgeon (Section G); adjudicated labels superseded algorithmic labels in all analyses.</w:t>
      </w:r>
    </w:p>
    <w:p>
      <w:pPr>
        <w:pStyle w:val="Heading1"/>
      </w:pPr>
      <w:r>
        <w:t>B. Unit of analysis and text segmentation</w:t>
      </w:r>
    </w:p>
    <w:p>
      <w:pPr>
        <w:spacing w:after="160"/>
      </w:pPr>
      <w:r>
        <w:t>Each report was split into a findings section (检查所见 / 超声检查所见) and a conclusion section (检查结论 / 超声检查结论). The positive/negative label was determined from the conclusion section; the findings section was used only for content coding and for the targeted adjudication sample.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 空肠位于右腹 / 右中腹 (jejunum lying on the right).</w:t>
      </w:r>
    </w:p>
    <w:p>
      <w:pPr>
        <w:spacing w:after="160"/>
      </w:pPr>
      <w:r>
        <w:rPr>
          <w:b/>
        </w:rPr>
        <w:t>CT-specific signs:</w:t>
      </w:r>
      <w:r>
        <w:t xml:space="preserve"> 漩涡征 / 旋涡样改变 (mesenteric whirl); 十二指肠位置异常 (abnormal duodenal position); 肠系膜血管走行异常 (abnormal mesenteric-vessel course).</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xml:space="preserve"> — no qualifier (e.g. 中肠旋转不良。 "midgut malrotation.").</w:t>
      </w:r>
    </w:p>
    <w:p>
      <w:pPr>
        <w:spacing w:after="160"/>
      </w:pPr>
      <w:r>
        <w:rPr>
          <w:b/>
        </w:rPr>
        <w:t>Probable</w:t>
      </w:r>
      <w:r>
        <w:t xml:space="preserve"> — 多考虑, 首先考虑, 考虑, 倾向, 符合…表现 ("most likely", "first consideration", "consistent with").</w:t>
      </w:r>
    </w:p>
    <w:p>
      <w:pPr>
        <w:spacing w:after="160"/>
      </w:pPr>
      <w:r>
        <w:rPr>
          <w:b/>
        </w:rPr>
        <w:t>Possible</w:t>
      </w:r>
      <w:r>
        <w:t xml:space="preserve"> —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cancelled if a negation cue appeared in the same clause and governed the diagnostic term: 未见 (not seen), 无 (absent), 未 (not), 排除 (excluded), 正常 (normal), 阴性 (negative), 未见明显异常 (no significant abnormality). Negation scope was the clause, not the sentence or report, so 未见明显梗阻征象。中肠旋转不良考虑。 ("no obstruction seen. Midgut malrotation considered.") remains positive.</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labelled positive at possible-tier certainty. This rule was applied consistently and is the single most consequential interpretive decision in the algorithm; the sensitivity analysis in Table 2 exists because of it.</w:t>
      </w:r>
    </w:p>
    <w:p>
      <w:pPr>
        <w:spacing w:after="160"/>
      </w:pPr>
      <w:r>
        <w:rPr>
          <w:b/>
        </w:rPr>
        <w:t>E3 Organ exclusions.</w:t>
      </w:r>
      <w:r>
        <w:t xml:space="preserve"> 胃扭转 and 胃翻转 (gastric volvulus / organoaxial gastric rotation) are benign findings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 for example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first match winning: (1) organ exclusions (E3); (2) clause-level negation (E1); (3) hedged-exclusion recognition (E2); (4) positive-evidence dictionary (C); (5) certainty tagging (D). Reports with no matching clause were labelled negative. Technically non-diagnostic studies were not coded separately as indeterminate and were labelled by their stated conclusion.</w:t>
      </w:r>
    </w:p>
    <w:p>
      <w:pPr>
        <w:pStyle w:val="Heading1"/>
      </w:pPr>
      <w:r>
        <w:t>G. Validation, and the errors we found</w:t>
      </w:r>
    </w:p>
    <w:p>
      <w:pPr>
        <w:spacing w:after="160"/>
      </w:pPr>
      <w:r>
        <w:t>A paediatric surgeon blinded to the operative findings adjudicated 32 reports in two independent samples.</w:t>
      </w:r>
    </w:p>
    <w:p>
      <w:pPr>
        <w:spacing w:after="160"/>
      </w:pPr>
      <w:r>
        <w:rPr>
          <w:b/>
        </w:rPr>
        <w:t>Sample 1 (validation).</w:t>
      </w:r>
      <w:r>
        <w:t xml:space="preserve"> A stratified random sample of 24 reports with positive and negative machine labels balanced across the three modalities. Agreement 22/24 (92%); Cohen kappa 0.83; per-modality agreement 88% (UGI), 88% (CT) and 100% (ultrasound). These are the only figures used to characterise algorithm performance.</w:t>
      </w:r>
    </w:p>
    <w:p>
      <w:pPr>
        <w:spacing w:after="160"/>
      </w:pPr>
      <w:r>
        <w:rPr>
          <w:b/>
        </w:rPr>
        <w:t>Sample 2 (targeted).</w:t>
      </w:r>
      <w:r>
        <w:t xml:space="preserve"> The 8 reports in which a malrotation sign appeared in the findings section while the machine label was negative. Five were confirmed as machine under-calls and corrected. Because this sample was selected on suspected discordance, it is </w:t>
      </w:r>
      <w:r>
        <w:rPr>
          <w:b/>
        </w:rPr>
        <w:t>excluded</w:t>
      </w:r>
      <w:r>
        <w:t xml:space="preserve"> from the agreement statistics above; including it would bias them.</w:t>
      </w:r>
    </w:p>
    <w:p>
      <w:pPr>
        <w:spacing w:after="160"/>
      </w:pPr>
      <w:r>
        <w:rPr>
          <w:b/>
        </w:rPr>
        <w:t>Direction of error.</w:t>
      </w:r>
      <w:r>
        <w:t xml:space="preserve"> All 7 discordances across both samples were machine under-calls (a true positive labelled negative). No machine over-call was identified. Reported detection rates are therefore conservative.</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(e.g. 中上腹异常光团回声，内呈强弱相间的漩涡状回声 — "abnormal mass-like echo in the upper abdomen with alternating whirled echogenicity" — without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H. Report-content audit patterns</w:t>
      </w:r>
    </w:p>
    <w:p>
      <w:pPr>
        <w:spacing w:after="160"/>
      </w:pPr>
      <w:r>
        <w:t>Content coding was applied to the concatenated findings and conclusion text of each index report. Patterns are given as regular expressions over the source text; a report was coded positive for an element if the pattern matched anywhere in that text.</w:t>
      </w:r>
    </w:p>
    <w:p>
      <w:pPr>
        <w:spacing w:after="160"/>
      </w:pPr>
      <w:r>
        <w:rPr>
          <w:b/>
        </w:rPr>
        <w:t>Table S1. Report-content audit patterns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Element</w:t>
            </w:r>
          </w:p>
        </w:tc>
        <w:tc>
          <w:tcPr>
            <w:tcW w:type="dxa" w:w="3120"/>
          </w:tcPr>
          <w:p>
            <w:r/>
            <w:r>
              <w:rPr>
                <w:rFonts w:ascii="Times New Roman" w:hAnsi="Times New Roman"/>
                <w:b/>
                <w:sz w:val="17"/>
              </w:rPr>
              <w:t>Modality</w:t>
            </w:r>
          </w:p>
        </w:tc>
        <w:tc>
          <w:tcPr>
            <w:tcW w:type="dxa" w:w="3120"/>
          </w:tcPr>
          <w:p>
            <w:r/>
            <w:r>
              <w:rPr>
                <w:rFonts w:ascii="Times New Roman" w:hAnsi="Times New Roman"/>
                <w:b/>
                <w:sz w:val="17"/>
              </w:rPr>
              <w:t>Regular expression (source text)</w:t>
            </w:r>
          </w:p>
        </w:tc>
      </w:tr>
      <w:tr>
        <w:tc>
          <w:tcPr>
            <w:tcW w:type="dxa" w:w="3120"/>
          </w:tcPr>
          <w:p>
            <w:r/>
            <w:r>
              <w:rPr>
                <w:rFonts w:ascii="Times New Roman" w:hAnsi="Times New Roman"/>
                <w:sz w:val="17"/>
              </w:rPr>
              <w:t>Third portion of duodenum / duodenojejunal junction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十二指肠水平段|水平段|十二指肠第三段|第三段|十二指肠空肠曲|屈氏韧带|Treitz|十二指肠悬韧带</w:t>
            </w:r>
          </w:p>
        </w:tc>
      </w:tr>
      <w:tr>
        <w:tc>
          <w:tcPr>
            <w:tcW w:type="dxa" w:w="3120"/>
          </w:tcPr>
          <w:p>
            <w:r/>
            <w:r>
              <w:rPr>
                <w:rFonts w:ascii="Times New Roman" w:hAnsi="Times New Roman"/>
                <w:sz w:val="17"/>
              </w:rPr>
              <w:t>Duodenum mentioned in any form</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w:t>
            </w:r>
          </w:p>
        </w:tc>
      </w:tr>
      <w:tr>
        <w:tc>
          <w:tcPr>
            <w:tcW w:type="dxa" w:w="3120"/>
          </w:tcPr>
          <w:p>
            <w:r/>
            <w:r>
              <w:rPr>
                <w:rFonts w:ascii="Times New Roman" w:hAnsi="Times New Roman"/>
                <w:sz w:val="17"/>
              </w:rPr>
              <w:t>Superior mesenteric artery–vein relationship</w:t>
            </w:r>
          </w:p>
        </w:tc>
        <w:tc>
          <w:tcPr>
            <w:tcW w:type="dxa" w:w="3120"/>
          </w:tcPr>
          <w:p>
            <w:r/>
            <w:r>
              <w:rPr>
                <w:rFonts w:ascii="Times New Roman" w:hAnsi="Times New Roman"/>
                <w:sz w:val="17"/>
              </w:rPr>
              <w:t>Ultrasound / CT</w:t>
            </w:r>
          </w:p>
        </w:tc>
        <w:tc>
          <w:tcPr>
            <w:tcW w:type="dxa" w:w="3120"/>
          </w:tcPr>
          <w:p>
            <w:r/>
            <w:r>
              <w:rPr>
                <w:rFonts w:ascii="Times New Roman" w:hAnsi="Times New Roman"/>
                <w:sz w:val="17"/>
              </w:rPr>
              <w:t>肠系膜上动脉|肠系膜上静脉|SMA|SMV|系膜血管</w:t>
            </w:r>
          </w:p>
        </w:tc>
      </w:tr>
      <w:tr>
        <w:tc>
          <w:tcPr>
            <w:tcW w:type="dxa" w:w="3120"/>
          </w:tcPr>
          <w:p>
            <w:r/>
            <w:r>
              <w:rPr>
                <w:rFonts w:ascii="Times New Roman" w:hAnsi="Times New Roman"/>
                <w:sz w:val="17"/>
              </w:rPr>
              <w:t>Explicit vessel inversion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(动静脉|静脉.{0,6}动脉|动脉.{0,6}静脉).{0,12}(换位|反位|倒置|异常关系|关系异常|左侧|右侧)|静脉位于.{0,6}左|动脉.{0,4}右侧</w:t>
            </w:r>
          </w:p>
        </w:tc>
      </w:tr>
      <w:tr>
        <w:tc>
          <w:tcPr>
            <w:tcW w:type="dxa" w:w="3120"/>
          </w:tcPr>
          <w:p>
            <w:r/>
            <w:r>
              <w:rPr>
                <w:rFonts w:ascii="Times New Roman" w:hAnsi="Times New Roman"/>
                <w:sz w:val="17"/>
              </w:rPr>
              <w:t>Whirlpool / swirl / spiral appearance</w:t>
            </w:r>
          </w:p>
        </w:tc>
        <w:tc>
          <w:tcPr>
            <w:tcW w:type="dxa" w:w="3120"/>
          </w:tcPr>
          <w:p>
            <w:r/>
            <w:r>
              <w:rPr>
                <w:rFonts w:ascii="Times New Roman" w:hAnsi="Times New Roman"/>
                <w:sz w:val="17"/>
              </w:rPr>
              <w:t>All</w:t>
            </w:r>
          </w:p>
        </w:tc>
        <w:tc>
          <w:tcPr>
            <w:tcW w:type="dxa" w:w="3120"/>
          </w:tcPr>
          <w:p>
            <w:r/>
            <w:r>
              <w:rPr>
                <w:rFonts w:ascii="Times New Roman" w:hAnsi="Times New Roman"/>
                <w:sz w:val="17"/>
              </w:rPr>
              <w:t>漩涡|旋涡|涡流|螺旋</w:t>
            </w:r>
          </w:p>
        </w:tc>
      </w:tr>
      <w:tr>
        <w:tc>
          <w:tcPr>
            <w:tcW w:type="dxa" w:w="3120"/>
          </w:tcPr>
          <w:p>
            <w:r/>
            <w:r>
              <w:rPr>
                <w:rFonts w:ascii="Times New Roman" w:hAnsi="Times New Roman"/>
                <w:sz w:val="17"/>
              </w:rPr>
              <w:t>Enteric fluid administered</w:t>
            </w:r>
          </w:p>
        </w:tc>
        <w:tc>
          <w:tcPr>
            <w:tcW w:type="dxa" w:w="3120"/>
          </w:tcPr>
          <w:p>
            <w:r/>
            <w:r>
              <w:rPr>
                <w:rFonts w:ascii="Times New Roman" w:hAnsi="Times New Roman"/>
                <w:sz w:val="17"/>
              </w:rPr>
              <w:t>Ultrasound</w:t>
            </w:r>
          </w:p>
        </w:tc>
        <w:tc>
          <w:tcPr>
            <w:tcW w:type="dxa" w:w="3120"/>
          </w:tcPr>
          <w:p>
            <w:r/>
            <w:r>
              <w:rPr>
                <w:rFonts w:ascii="Times New Roman" w:hAnsi="Times New Roman"/>
                <w:sz w:val="17"/>
              </w:rPr>
              <w:t>饮水|口服.{0,4}(水|液)|注水|胃内注|温开水|生理盐水.{0,6}(灌|注)|水充盈</w:t>
            </w:r>
          </w:p>
        </w:tc>
      </w:tr>
      <w:tr>
        <w:tc>
          <w:tcPr>
            <w:tcW w:type="dxa" w:w="3120"/>
          </w:tcPr>
          <w:p>
            <w:r/>
            <w:r>
              <w:rPr>
                <w:rFonts w:ascii="Times New Roman" w:hAnsi="Times New Roman"/>
                <w:sz w:val="17"/>
              </w:rPr>
              <w:t>Bowel gas explicitly limiting the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气体干扰|肠气干扰|气体较多|积气.{0,10}(干扰|遮挡)|显示欠清|显示不清|声窗</w:t>
            </w:r>
          </w:p>
        </w:tc>
      </w:tr>
      <w:tr>
        <w:tc>
          <w:tcPr>
            <w:tcW w:type="dxa" w:w="3120"/>
          </w:tcPr>
          <w:p>
            <w:r/>
            <w:r>
              <w:rPr>
                <w:rFonts w:ascii="Times New Roman" w:hAnsi="Times New Roman"/>
                <w:sz w:val="17"/>
              </w:rPr>
              <w:t>Caecal position</w:t>
            </w:r>
          </w:p>
        </w:tc>
        <w:tc>
          <w:tcPr>
            <w:tcW w:type="dxa" w:w="3120"/>
          </w:tcPr>
          <w:p>
            <w:r/>
            <w:r>
              <w:rPr>
                <w:rFonts w:ascii="Times New Roman" w:hAnsi="Times New Roman"/>
                <w:sz w:val="17"/>
              </w:rPr>
              <w:t>Ultrasound / UGI</w:t>
            </w:r>
          </w:p>
        </w:tc>
        <w:tc>
          <w:tcPr>
            <w:tcW w:type="dxa" w:w="3120"/>
          </w:tcPr>
          <w:p>
            <w:r/>
            <w:r>
              <w:rPr>
                <w:rFonts w:ascii="Times New Roman" w:hAnsi="Times New Roman"/>
                <w:sz w:val="17"/>
              </w:rPr>
              <w:t>回盲部</w:t>
            </w:r>
          </w:p>
        </w:tc>
      </w:tr>
      <w:tr>
        <w:tc>
          <w:tcPr>
            <w:tcW w:type="dxa" w:w="3120"/>
          </w:tcPr>
          <w:p>
            <w:r/>
            <w:r>
              <w:rPr>
                <w:rFonts w:ascii="Times New Roman" w:hAnsi="Times New Roman"/>
                <w:sz w:val="17"/>
              </w:rPr>
              <w:t>Bedside examination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床旁 (in the examination name)</w:t>
            </w:r>
          </w:p>
        </w:tc>
      </w:tr>
      <w:tr>
        <w:tc>
          <w:tcPr>
            <w:tcW w:type="dxa" w:w="3120"/>
          </w:tcPr>
          <w:p>
            <w:r/>
            <w:r>
              <w:rPr>
                <w:rFonts w:ascii="Times New Roman" w:hAnsi="Times New Roman"/>
                <w:sz w:val="17"/>
              </w:rPr>
              <w:t>Examination type: great-vessel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腹部大血管 (in the examination name)</w:t>
            </w:r>
          </w:p>
        </w:tc>
      </w:tr>
      <w:tr>
        <w:tc>
          <w:tcPr>
            <w:tcW w:type="dxa" w:w="3120"/>
          </w:tcPr>
          <w:p>
            <w:r/>
            <w:r>
              <w:rPr>
                <w:rFonts w:ascii="Times New Roman" w:hAnsi="Times New Roman"/>
                <w:sz w:val="17"/>
              </w:rPr>
              <w:t>Examination type: gastrointestinal ultrasound</w:t>
            </w:r>
          </w:p>
        </w:tc>
        <w:tc>
          <w:tcPr>
            <w:tcW w:type="dxa" w:w="3120"/>
          </w:tcPr>
          <w:p>
            <w:r/>
            <w:r>
              <w:rPr>
                <w:rFonts w:ascii="Times New Roman" w:hAnsi="Times New Roman"/>
                <w:sz w:val="17"/>
              </w:rPr>
              <w:t>Ultrasound</w:t>
            </w:r>
          </w:p>
        </w:tc>
        <w:tc>
          <w:tcPr>
            <w:tcW w:type="dxa" w:w="3120"/>
          </w:tcPr>
          <w:p>
            <w:r/>
            <w:r>
              <w:rPr>
                <w:rFonts w:ascii="Times New Roman" w:hAnsi="Times New Roman"/>
                <w:sz w:val="17"/>
              </w:rPr>
              <w:t>胃肠道 (in the examination name)</w:t>
            </w:r>
          </w:p>
        </w:tc>
      </w:tr>
      <w:tr>
        <w:tc>
          <w:tcPr>
            <w:tcW w:type="dxa" w:w="3120"/>
          </w:tcPr>
          <w:p>
            <w:r/>
            <w:r>
              <w:rPr>
                <w:rFonts w:ascii="Times New Roman" w:hAnsi="Times New Roman"/>
                <w:sz w:val="17"/>
              </w:rPr>
              <w:t>Contrast enhancement</w:t>
            </w:r>
          </w:p>
        </w:tc>
        <w:tc>
          <w:tcPr>
            <w:tcW w:type="dxa" w:w="3120"/>
          </w:tcPr>
          <w:p>
            <w:r/>
            <w:r>
              <w:rPr>
                <w:rFonts w:ascii="Times New Roman" w:hAnsi="Times New Roman"/>
                <w:sz w:val="17"/>
              </w:rPr>
              <w:t>CT</w:t>
            </w:r>
          </w:p>
        </w:tc>
        <w:tc>
          <w:tcPr>
            <w:tcW w:type="dxa" w:w="3120"/>
          </w:tcPr>
          <w:p>
            <w:r/>
            <w:r>
              <w:rPr>
                <w:rFonts w:ascii="Times New Roman" w:hAnsi="Times New Roman"/>
                <w:sz w:val="17"/>
              </w:rPr>
              <w:t>增强 (in the examination name)</w:t>
            </w:r>
          </w:p>
        </w:tc>
      </w:tr>
      <w:tr>
        <w:tc>
          <w:tcPr>
            <w:tcW w:type="dxa" w:w="3120"/>
          </w:tcPr>
          <w:p>
            <w:r/>
            <w:r>
              <w:rPr>
                <w:rFonts w:ascii="Times New Roman" w:hAnsi="Times New Roman"/>
                <w:sz w:val="17"/>
              </w:rPr>
              <w:t>Three-dimensional reconstruction</w:t>
            </w:r>
          </w:p>
        </w:tc>
        <w:tc>
          <w:tcPr>
            <w:tcW w:type="dxa" w:w="3120"/>
          </w:tcPr>
          <w:p>
            <w:r/>
            <w:r>
              <w:rPr>
                <w:rFonts w:ascii="Times New Roman" w:hAnsi="Times New Roman"/>
                <w:sz w:val="17"/>
              </w:rPr>
              <w:t>CT</w:t>
            </w:r>
          </w:p>
        </w:tc>
        <w:tc>
          <w:tcPr>
            <w:tcW w:type="dxa" w:w="3120"/>
          </w:tcPr>
          <w:p>
            <w:r/>
            <w:r>
              <w:rPr>
                <w:rFonts w:ascii="Times New Roman" w:hAnsi="Times New Roman"/>
                <w:sz w:val="17"/>
              </w:rPr>
              <w:t>三维重建 (in the examination name)</w:t>
            </w:r>
          </w:p>
        </w:tc>
      </w:tr>
      <w:tr>
        <w:tc>
          <w:tcPr>
            <w:tcW w:type="dxa" w:w="3120"/>
          </w:tcPr>
          <w:p>
            <w:r/>
            <w:r>
              <w:rPr>
                <w:rFonts w:ascii="Times New Roman" w:hAnsi="Times New Roman"/>
                <w:sz w:val="17"/>
              </w:rPr>
              <w:t>Duodenojejunal junction</w:t>
            </w:r>
          </w:p>
        </w:tc>
        <w:tc>
          <w:tcPr>
            <w:tcW w:type="dxa" w:w="3120"/>
          </w:tcPr>
          <w:p>
            <w:r/>
            <w:r>
              <w:rPr>
                <w:rFonts w:ascii="Times New Roman" w:hAnsi="Times New Roman"/>
                <w:sz w:val="17"/>
              </w:rPr>
              <w:t>UGI</w:t>
            </w:r>
          </w:p>
        </w:tc>
        <w:tc>
          <w:tcPr>
            <w:tcW w:type="dxa" w:w="3120"/>
          </w:tcPr>
          <w:p>
            <w:r/>
            <w:r>
              <w:rPr>
                <w:rFonts w:ascii="Times New Roman" w:hAnsi="Times New Roman"/>
                <w:sz w:val="17"/>
              </w:rPr>
              <w:t>十二指肠空肠曲|屈氏|Treitz|十二指肠.{0,6}空肠</w:t>
            </w:r>
          </w:p>
        </w:tc>
      </w:tr>
      <w:tr>
        <w:tc>
          <w:tcPr>
            <w:tcW w:type="dxa" w:w="3120"/>
          </w:tcPr>
          <w:p>
            <w:r/>
            <w:r>
              <w:rPr>
                <w:rFonts w:ascii="Times New Roman" w:hAnsi="Times New Roman"/>
                <w:sz w:val="17"/>
              </w:rPr>
              <w:t>Corkscrew / spring appearance</w:t>
            </w:r>
          </w:p>
        </w:tc>
        <w:tc>
          <w:tcPr>
            <w:tcW w:type="dxa" w:w="3120"/>
          </w:tcPr>
          <w:p>
            <w:r/>
            <w:r>
              <w:rPr>
                <w:rFonts w:ascii="Times New Roman" w:hAnsi="Times New Roman"/>
                <w:sz w:val="17"/>
              </w:rPr>
              <w:t>UGI</w:t>
            </w:r>
          </w:p>
        </w:tc>
        <w:tc>
          <w:tcPr>
            <w:tcW w:type="dxa" w:w="3120"/>
          </w:tcPr>
          <w:p>
            <w:r/>
            <w:r>
              <w:rPr>
                <w:rFonts w:ascii="Times New Roman" w:hAnsi="Times New Roman"/>
                <w:sz w:val="17"/>
              </w:rPr>
              <w:t>弹簧|螺旋|绞索|盘曲</w:t>
            </w:r>
          </w:p>
        </w:tc>
      </w:tr>
      <w:tr>
        <w:tc>
          <w:tcPr>
            <w:tcW w:type="dxa" w:w="3120"/>
          </w:tcPr>
          <w:p>
            <w:r/>
            <w:r>
              <w:rPr>
                <w:rFonts w:ascii="Times New Roman" w:hAnsi="Times New Roman"/>
                <w:sz w:val="17"/>
              </w:rPr>
              <w:t>Jejunal position</w:t>
            </w:r>
          </w:p>
        </w:tc>
        <w:tc>
          <w:tcPr>
            <w:tcW w:type="dxa" w:w="3120"/>
          </w:tcPr>
          <w:p>
            <w:r/>
            <w:r>
              <w:rPr>
                <w:rFonts w:ascii="Times New Roman" w:hAnsi="Times New Roman"/>
                <w:sz w:val="17"/>
              </w:rPr>
              <w:t>UGI</w:t>
            </w:r>
          </w:p>
        </w:tc>
        <w:tc>
          <w:tcPr>
            <w:tcW w:type="dxa" w:w="3120"/>
          </w:tcPr>
          <w:p>
            <w:r/>
            <w:r>
              <w:rPr>
                <w:rFonts w:ascii="Times New Roman" w:hAnsi="Times New Roman"/>
                <w:sz w:val="17"/>
              </w:rPr>
              <w:t>空肠.{0,10}(位于|居|偏)</w:t>
            </w:r>
          </w:p>
        </w:tc>
      </w:tr>
      <w:tr>
        <w:tc>
          <w:tcPr>
            <w:tcW w:type="dxa" w:w="3120"/>
          </w:tcPr>
          <w:p>
            <w:r/>
            <w:r>
              <w:rPr>
                <w:rFonts w:ascii="Times New Roman" w:hAnsi="Times New Roman"/>
                <w:sz w:val="17"/>
              </w:rPr>
              <w:t>Whole-gastrointestinal study</w:t>
            </w:r>
          </w:p>
        </w:tc>
        <w:tc>
          <w:tcPr>
            <w:tcW w:type="dxa" w:w="3120"/>
          </w:tcPr>
          <w:p>
            <w:r/>
            <w:r>
              <w:rPr>
                <w:rFonts w:ascii="Times New Roman" w:hAnsi="Times New Roman"/>
                <w:sz w:val="17"/>
              </w:rPr>
              <w:t>UGI</w:t>
            </w:r>
          </w:p>
        </w:tc>
        <w:tc>
          <w:tcPr>
            <w:tcW w:type="dxa" w:w="3120"/>
          </w:tcPr>
          <w:p>
            <w:r/>
            <w:r>
              <w:rPr>
                <w:rFonts w:ascii="Times New Roman" w:hAnsi="Times New Roman"/>
                <w:sz w:val="17"/>
              </w:rPr>
              <w:t>全消化道 (in the examination name)</w:t>
            </w:r>
          </w:p>
        </w:tc>
      </w:tr>
      <w:tr>
        <w:tc>
          <w:tcPr>
            <w:tcW w:type="dxa" w:w="3120"/>
          </w:tcPr>
          <w:p>
            <w:r/>
            <w:r>
              <w:rPr>
                <w:rFonts w:ascii="Times New Roman" w:hAnsi="Times New Roman"/>
                <w:sz w:val="17"/>
              </w:rPr>
              <w:t>Barium contrast</w:t>
            </w:r>
          </w:p>
        </w:tc>
        <w:tc>
          <w:tcPr>
            <w:tcW w:type="dxa" w:w="3120"/>
          </w:tcPr>
          <w:p>
            <w:r/>
            <w:r>
              <w:rPr>
                <w:rFonts w:ascii="Times New Roman" w:hAnsi="Times New Roman"/>
                <w:sz w:val="17"/>
              </w:rPr>
              <w:t>UGI</w:t>
            </w:r>
          </w:p>
        </w:tc>
        <w:tc>
          <w:tcPr>
            <w:tcW w:type="dxa" w:w="3120"/>
          </w:tcPr>
          <w:p>
            <w:r/>
            <w:r>
              <w:rPr>
                <w:rFonts w:ascii="Times New Roman" w:hAnsi="Times New Roman"/>
                <w:sz w:val="17"/>
              </w:rPr>
              <w:t>钡 (in the examination name)</w:t>
            </w:r>
          </w:p>
        </w:tc>
      </w:tr>
    </w:tbl>
    <w:p>
      <w:pPr>
        <w:spacing w:after="160"/>
      </w:pPr>
    </w:p>
    <w:p>
      <w:pPr>
        <w:spacing w:after="160"/>
      </w:pPr>
      <w:r>
        <w:t>Two properties of this audit should be kept in mind. First, it records what was written, and is a lower bound on what was performed. Second, the whirlpool sign appears in the main manuscript both as an adjudicated study variable (59 of 119 reports) and as a text-pattern variable (57 of 119); the small difference reflects two reports in which the adjudicator recognised a whirlpool described in words the pattern did not capture, and both figures are reported for transparency.</w:t>
      </w:r>
    </w:p>
    <w:p>
      <w:pPr>
        <w:pStyle w:val="Heading1"/>
      </w:pPr>
      <w:r>
        <w:t>I. Distribution of labels by modality</w:t>
      </w:r>
    </w:p>
    <w:p>
      <w:pPr>
        <w:spacing w:after="160"/>
      </w:pPr>
      <w:r>
        <w:rPr>
          <w:b/>
        </w:rPr>
        <w:t>Table S2. Distribution of algorithmic labels and certainty tiers, by modality</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Index reports</w:t>
            </w:r>
          </w:p>
        </w:tc>
        <w:tc>
          <w:tcPr>
            <w:tcW w:type="dxa" w:w="1337"/>
          </w:tcPr>
          <w:p>
            <w:r/>
            <w:r>
              <w:rPr>
                <w:rFonts w:ascii="Times New Roman" w:hAnsi="Times New Roman"/>
                <w:b/>
                <w:sz w:val="17"/>
              </w:rPr>
              <w:t>Classified positive</w:t>
            </w:r>
          </w:p>
        </w:tc>
        <w:tc>
          <w:tcPr>
            <w:tcW w:type="dxa" w:w="1337"/>
          </w:tcPr>
          <w:p>
            <w:r/>
            <w:r>
              <w:rPr>
                <w:rFonts w:ascii="Times New Roman" w:hAnsi="Times New Roman"/>
                <w:b/>
                <w:sz w:val="17"/>
              </w:rPr>
              <w:t>Classified negative</w:t>
            </w:r>
          </w:p>
        </w:tc>
        <w:tc>
          <w:tcPr>
            <w:tcW w:type="dxa" w:w="1337"/>
          </w:tcPr>
          <w:p>
            <w:r/>
            <w:r>
              <w:rPr>
                <w:rFonts w:ascii="Times New Roman" w:hAnsi="Times New Roman"/>
                <w:b/>
                <w:sz w:val="17"/>
              </w:rPr>
              <w:t>Positive with definite wording</w:t>
            </w:r>
          </w:p>
        </w:tc>
        <w:tc>
          <w:tcPr>
            <w:tcW w:type="dxa" w:w="1337"/>
          </w:tcPr>
          <w:p>
            <w:r/>
            <w:r>
              <w:rPr>
                <w:rFonts w:ascii="Times New Roman" w:hAnsi="Times New Roman"/>
                <w:b/>
                <w:sz w:val="17"/>
              </w:rPr>
              <w:t>Positive with probable wording</w:t>
            </w:r>
          </w:p>
        </w:tc>
        <w:tc>
          <w:tcPr>
            <w:tcW w:type="dxa" w:w="1337"/>
          </w:tcPr>
          <w:p>
            <w:r/>
            <w:r>
              <w:rPr>
                <w:rFonts w:ascii="Times New Roman" w:hAnsi="Times New Roman"/>
                <w:b/>
                <w:sz w:val="17"/>
              </w:rPr>
              <w:t>Positive with possible wording</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301</w:t>
            </w:r>
          </w:p>
        </w:tc>
        <w:tc>
          <w:tcPr>
            <w:tcW w:type="dxa" w:w="1337"/>
          </w:tcPr>
          <w:p>
            <w:r/>
            <w:r>
              <w:rPr>
                <w:rFonts w:ascii="Times New Roman" w:hAnsi="Times New Roman"/>
                <w:sz w:val="17"/>
              </w:rPr>
              <w:t>237 (78.7%)</w:t>
            </w:r>
          </w:p>
        </w:tc>
        <w:tc>
          <w:tcPr>
            <w:tcW w:type="dxa" w:w="1337"/>
          </w:tcPr>
          <w:p>
            <w:r/>
            <w:r>
              <w:rPr>
                <w:rFonts w:ascii="Times New Roman" w:hAnsi="Times New Roman"/>
                <w:sz w:val="17"/>
              </w:rPr>
              <w:t>64 (21.3%)</w:t>
            </w:r>
          </w:p>
        </w:tc>
        <w:tc>
          <w:tcPr>
            <w:tcW w:type="dxa" w:w="1337"/>
          </w:tcPr>
          <w:p>
            <w:r/>
            <w:r>
              <w:rPr>
                <w:rFonts w:ascii="Times New Roman" w:hAnsi="Times New Roman"/>
                <w:sz w:val="17"/>
              </w:rPr>
              <w:t>78</w:t>
            </w:r>
          </w:p>
        </w:tc>
        <w:tc>
          <w:tcPr>
            <w:tcW w:type="dxa" w:w="1337"/>
          </w:tcPr>
          <w:p>
            <w:r/>
            <w:r>
              <w:rPr>
                <w:rFonts w:ascii="Times New Roman" w:hAnsi="Times New Roman"/>
                <w:sz w:val="17"/>
              </w:rPr>
              <w:t>76</w:t>
            </w:r>
          </w:p>
        </w:tc>
        <w:tc>
          <w:tcPr>
            <w:tcW w:type="dxa" w:w="1337"/>
          </w:tcPr>
          <w:p>
            <w:r/>
            <w:r>
              <w:rPr>
                <w:rFonts w:ascii="Times New Roman" w:hAnsi="Times New Roman"/>
                <w:sz w:val="17"/>
              </w:rPr>
              <w:t>83</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320</w:t>
            </w:r>
          </w:p>
        </w:tc>
        <w:tc>
          <w:tcPr>
            <w:tcW w:type="dxa" w:w="1337"/>
          </w:tcPr>
          <w:p>
            <w:r/>
            <w:r>
              <w:rPr>
                <w:rFonts w:ascii="Times New Roman" w:hAnsi="Times New Roman"/>
                <w:sz w:val="17"/>
              </w:rPr>
              <w:t>171 (53.4%)</w:t>
            </w:r>
          </w:p>
        </w:tc>
        <w:tc>
          <w:tcPr>
            <w:tcW w:type="dxa" w:w="1337"/>
          </w:tcPr>
          <w:p>
            <w:r/>
            <w:r>
              <w:rPr>
                <w:rFonts w:ascii="Times New Roman" w:hAnsi="Times New Roman"/>
                <w:sz w:val="17"/>
              </w:rPr>
              <w:t>149 (46.6%)</w:t>
            </w:r>
          </w:p>
        </w:tc>
        <w:tc>
          <w:tcPr>
            <w:tcW w:type="dxa" w:w="1337"/>
          </w:tcPr>
          <w:p>
            <w:r/>
            <w:r>
              <w:rPr>
                <w:rFonts w:ascii="Times New Roman" w:hAnsi="Times New Roman"/>
                <w:sz w:val="17"/>
              </w:rPr>
              <w:t>34</w:t>
            </w:r>
          </w:p>
        </w:tc>
        <w:tc>
          <w:tcPr>
            <w:tcW w:type="dxa" w:w="1337"/>
          </w:tcPr>
          <w:p>
            <w:r/>
            <w:r>
              <w:rPr>
                <w:rFonts w:ascii="Times New Roman" w:hAnsi="Times New Roman"/>
                <w:sz w:val="17"/>
              </w:rPr>
              <w:t>75</w:t>
            </w:r>
          </w:p>
        </w:tc>
        <w:tc>
          <w:tcPr>
            <w:tcW w:type="dxa" w:w="1337"/>
          </w:tcPr>
          <w:p>
            <w:r/>
            <w:r>
              <w:rPr>
                <w:rFonts w:ascii="Times New Roman" w:hAnsi="Times New Roman"/>
                <w:sz w:val="17"/>
              </w:rPr>
              <w:t>62</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119</w:t>
            </w:r>
          </w:p>
        </w:tc>
        <w:tc>
          <w:tcPr>
            <w:tcW w:type="dxa" w:w="1337"/>
          </w:tcPr>
          <w:p>
            <w:r/>
            <w:r>
              <w:rPr>
                <w:rFonts w:ascii="Times New Roman" w:hAnsi="Times New Roman"/>
                <w:sz w:val="17"/>
              </w:rPr>
              <w:t>65 (54.6%)</w:t>
            </w:r>
          </w:p>
        </w:tc>
        <w:tc>
          <w:tcPr>
            <w:tcW w:type="dxa" w:w="1337"/>
          </w:tcPr>
          <w:p>
            <w:r/>
            <w:r>
              <w:rPr>
                <w:rFonts w:ascii="Times New Roman" w:hAnsi="Times New Roman"/>
                <w:sz w:val="17"/>
              </w:rPr>
              <w:t>54 (45.4%)</w:t>
            </w:r>
          </w:p>
        </w:tc>
        <w:tc>
          <w:tcPr>
            <w:tcW w:type="dxa" w:w="1337"/>
          </w:tcPr>
          <w:p>
            <w:r/>
            <w:r>
              <w:rPr>
                <w:rFonts w:ascii="Times New Roman" w:hAnsi="Times New Roman"/>
                <w:sz w:val="17"/>
              </w:rPr>
              <w:t>16</w:t>
            </w:r>
          </w:p>
        </w:tc>
        <w:tc>
          <w:tcPr>
            <w:tcW w:type="dxa" w:w="1337"/>
          </w:tcPr>
          <w:p>
            <w:r/>
            <w:r>
              <w:rPr>
                <w:rFonts w:ascii="Times New Roman" w:hAnsi="Times New Roman"/>
                <w:sz w:val="17"/>
              </w:rPr>
              <w:t>17</w:t>
            </w:r>
          </w:p>
        </w:tc>
        <w:tc>
          <w:tcPr>
            <w:tcW w:type="dxa" w:w="1337"/>
          </w:tcPr>
          <w:p>
            <w:r/>
            <w:r>
              <w:rPr>
                <w:rFonts w:ascii="Times New Roman" w:hAnsi="Times New Roman"/>
                <w:sz w:val="17"/>
              </w:rPr>
              <w:t>32</w:t>
            </w:r>
          </w:p>
        </w:tc>
      </w:tr>
      <w:tr>
        <w:tc>
          <w:tcPr>
            <w:tcW w:type="dxa" w:w="1337"/>
          </w:tcPr>
          <w:p>
            <w:r/>
            <w:r>
              <w:rPr>
                <w:rFonts w:ascii="Times New Roman" w:hAnsi="Times New Roman"/>
                <w:sz w:val="17"/>
              </w:rPr>
              <w:t>All three</w:t>
            </w:r>
          </w:p>
        </w:tc>
        <w:tc>
          <w:tcPr>
            <w:tcW w:type="dxa" w:w="1337"/>
          </w:tcPr>
          <w:p>
            <w:r/>
            <w:r>
              <w:rPr>
                <w:rFonts w:ascii="Times New Roman" w:hAnsi="Times New Roman"/>
                <w:sz w:val="17"/>
              </w:rPr>
              <w:t>740</w:t>
            </w:r>
          </w:p>
        </w:tc>
        <w:tc>
          <w:tcPr>
            <w:tcW w:type="dxa" w:w="1337"/>
          </w:tcPr>
          <w:p>
            <w:r/>
            <w:r>
              <w:rPr>
                <w:rFonts w:ascii="Times New Roman" w:hAnsi="Times New Roman"/>
                <w:sz w:val="17"/>
              </w:rPr>
              <w:t>473</w:t>
            </w:r>
          </w:p>
        </w:tc>
        <w:tc>
          <w:tcPr>
            <w:tcW w:type="dxa" w:w="1337"/>
          </w:tcPr>
          <w:p>
            <w:r/>
            <w:r>
              <w:rPr>
                <w:rFonts w:ascii="Times New Roman" w:hAnsi="Times New Roman"/>
                <w:sz w:val="17"/>
              </w:rPr>
              <w:t>267</w:t>
            </w:r>
          </w:p>
        </w:tc>
        <w:tc>
          <w:tcPr>
            <w:tcW w:type="dxa" w:w="1337"/>
          </w:tcPr>
          <w:p>
            <w:r/>
            <w:r>
              <w:rPr>
                <w:rFonts w:ascii="Times New Roman" w:hAnsi="Times New Roman"/>
                <w:sz w:val="17"/>
              </w:rPr>
              <w:t>128</w:t>
            </w:r>
          </w:p>
        </w:tc>
        <w:tc>
          <w:tcPr>
            <w:tcW w:type="dxa" w:w="1337"/>
          </w:tcPr>
          <w:p>
            <w:r/>
            <w:r>
              <w:rPr>
                <w:rFonts w:ascii="Times New Roman" w:hAnsi="Times New Roman"/>
                <w:sz w:val="17"/>
              </w:rPr>
              <w:t>168</w:t>
            </w:r>
          </w:p>
        </w:tc>
        <w:tc>
          <w:tcPr>
            <w:tcW w:type="dxa" w:w="1337"/>
          </w:tcPr>
          <w:p>
            <w:r/>
            <w:r>
              <w:rPr>
                <w:rFonts w:ascii="Times New Roman" w:hAnsi="Times New Roman"/>
                <w:sz w:val="17"/>
              </w:rPr>
              <w:t>177</w:t>
            </w:r>
          </w:p>
        </w:tc>
      </w:tr>
    </w:tbl>
    <w:p>
      <w:pPr>
        <w:spacing w:after="1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