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a performance attributed to assessment of the third portion of the duodenum (D3), the duodenojejunal junction and the mesenteric vessels. Most of that evidence postdates the 2020 ACR Appropriateness Criteria, which rate ultrasound as "may be appropriate" and the upper gastrointestinal series as "usually appropriate" for bilious vomiting in infants older than 2 days. Whether routine reports document those elements, and how this relates to whether the diagnosis is reported,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coding each examination both for whether it named the diagnosis and for the technical elements it documented, the ultrasound elements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followed that content closely: 5 of the 58 examinations without a reported whirlpool named the diagnosis, and a whirlpool was reported in only 59 of the 112 children in whom operation confirmed midgut volvulus. In routine practice, a positive ultrasound report rested almost entirely on the whirlpool sign, a sign of volvulus.</w:t>
      </w:r>
    </w:p>
    <w:p>
      <w:pPr>
        <w:spacing w:after="160"/>
      </w:pPr>
      <w:r>
        <w:t>Duodenal landmarks were documented no more often in the later years of the study, while whirlpool reporting rose. An exploratory analysis of the change in ultrasound detection over time is reported as such: the difference between eras was imprecise and its association with how examinations were booked cannot be separated from the indication for the test.</w:t>
      </w:r>
    </w:p>
    <w:p>
      <w:pPr>
        <w:spacing w:after="160"/>
      </w:pPr>
      <w:r>
        <w:t>For radiology departments the implication is practical, and the submission provides the means to act on it. Unlike accuracy, documentation needs no reference standard: it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classification of free-text reports, a transparent rule-based method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 This is a single-center, first audit cycle: whether a structured report changes documentation or detection has not been tested, and we say so.</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