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2,989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The 2025 multicenter series measured performance from the original clinical reports, after excluding non-diagnostic and equivocal examinations [13]. 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that other departments can apply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All operative records were re-read for 34 children whose anchor operation was not named as a malrotation procedure or followed earlier malrotation surgery: 19 were retained and 15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[23]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[24]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[25, 26].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[144/180] vs 70.0% [42/60]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50.2%, 32.9% and 25.6%;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a gap might be expected with free-text reports and no condition-specific protocol, as here; the audit shows its size and its consequence: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[27]),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was imprecise, the booking indicator was chosen after inspection of the data, and booking was not randomized, as a child suspected of volvulus is both more likely to be booked for a vessel study and more likely to have a whirlpool.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The documentation gap bears on departments adopting an ultrasound-first pathway on the basis of sensitivities of 93–97%, and on guidance weighing that evidence [19]: published performance applies only where examinations resemble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deficit generalizes, whether a structured report would raise documentation and whether documentation would raise detection are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25. Firth D. Bias reduction of maximum likelihood estimates. </w:t>
      </w:r>
      <w:r>
        <w:rPr>
          <w:i/>
          <w:sz w:val="20"/>
        </w:rPr>
        <w:t>Biometrika</w:t>
      </w:r>
      <w:r>
        <w:rPr>
          <w:sz w:val="20"/>
        </w:rPr>
        <w:t>. 1993;80:27-38. doi:10.1093/biomet/80.1.27</w:t>
      </w:r>
    </w:p>
    <w:p>
      <w:pPr>
        <w:spacing w:after="60" w:line="480" w:lineRule="auto"/>
      </w:pPr>
      <w:r>
        <w:rPr>
          <w:sz w:val="20"/>
        </w:rPr>
        <w:t xml:space="preserve">26.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27.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elements documented in more than seven examinations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