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词，删的全部是附录里已有的重复细节，没有删任何一条回应评审意见的实质内容。核对过的关键数据全部保留：0/119 未记录 D3、SMA-SMV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三之三、"检查类型"变量的表述已收紧</w:t>
      </w:r>
    </w:p>
    <w:p>
      <w:pPr>
        <w:spacing w:after="160"/>
      </w:pPr>
      <w:r>
        <w:t>原稿在正文和投稿信里把这个变量称作 "mesenteric-vessel-focused examination"（血管导向检查），这个说法暗含了操作意图与技术，超出了数据能支持的范围。数据里实际有的只是</w:t>
      </w:r>
      <w:r>
        <w:rPr>
          <w:b/>
        </w:rPr>
        <w:t>开单/报告项目名称</w:t>
      </w:r>
      <w:r>
        <w:t>："腹部大血管彩超（含腹膜后）" 与 "胃肠道彩超"。</w:t>
      </w:r>
    </w:p>
    <w:p>
      <w:pPr>
        <w:spacing w:after="160"/>
      </w:pPr>
      <w:r>
        <w:t xml:space="preserve">全文已统一改为 </w:t>
      </w:r>
      <w:r>
        <w:rPr>
          <w:b/>
        </w:rPr>
        <w:t>great-vessel-coded</w:t>
      </w:r>
      <w:r>
        <w:t>（按大血管项目开单并报告），并在方法学里一次性定义清楚，表 4 脚注中明确写出"这是开单与报告的标签，不是操作技术的记录"。投稿信同步修改，并删掉了原来"documented shift"里那个站不住的 documented。</w:t>
      </w:r>
    </w:p>
    <w:p>
      <w:pPr>
        <w:spacing w:after="160"/>
      </w:pPr>
      <w:r>
        <w:t>同时补入一条新发现（这条其实加强了全文论点）：这次开单方式的转变</w:t>
      </w:r>
      <w:r>
        <w:rPr>
          <w:b/>
        </w:rPr>
        <w:t>提高的是漩涡征的记录率</w:t>
      </w:r>
      <w:r>
        <w:t>（胃肠道项目 35.8% → 大血管项目 63.0%），</w:t>
      </w:r>
      <w:r>
        <w:rPr>
          <w:b/>
        </w:rPr>
        <w:t>但没有提高十二指肠评估</w:t>
      </w:r>
      <w:r>
        <w:t>（9.4% → 2.2%，反而更低）。也就是说，这十年的改善发生在"把中肠扭转查得更准"的方向上，而不是"把肠旋转不良这个解剖异常查出来"的方向上——十二指肠解剖评估从头到尾都是空白。Results 与 Discussion 各加了一句。</w:t>
      </w:r>
    </w:p>
    <w:p>
      <w:pPr>
        <w:spacing w:after="160"/>
      </w:pPr>
      <w:r>
        <w:t>表 4 里一处 "(p=&lt;0.001)" 的排版错误一并修正为 "(p&lt;0.001)"。</w:t>
      </w:r>
    </w:p>
    <w:p>
      <w:pPr>
        <w:spacing w:after="160"/>
      </w:pPr>
      <w:r>
        <w:t xml:space="preserve">正文经过增删后为 </w:t>
      </w:r>
      <w:r>
        <w:rPr>
          <w:b/>
        </w:rPr>
        <w:t>2,995 词</w:t>
      </w:r>
      <w:r>
        <w:t>，仍在 3,000 上限内。</w:t>
      </w:r>
    </w:p>
    <w:p>
      <w:pPr>
        <w:pStyle w:val="Heading1"/>
      </w:pPr>
      <w:r>
        <w:t>三之四、超声科的答复已写入稿件（原 ⟦AUTHORS⟧ 待确认项已关闭）</w:t>
      </w:r>
    </w:p>
    <w:p>
      <w:pPr>
        <w:spacing w:after="160"/>
      </w:pPr>
      <w:r>
        <w:t>超声科的答复是：</w:t>
      </w:r>
      <w:r>
        <w:rPr>
          <w:b/>
        </w:rPr>
        <w:t>2012–2026 年间没有更换设备、没有更换报告医师、也没有下发过检查规范修订</w:t>
      </w:r>
      <w:r>
        <w:t>；2021 年以后的变化来自</w:t>
      </w:r>
      <w:r>
        <w:rPr>
          <w:b/>
        </w:rPr>
        <w:t>对肠旋转不良这个病的认知加深、理念改变</w:t>
      </w:r>
      <w:r>
        <w:t>。</w:t>
      </w:r>
    </w:p>
    <w:p>
      <w:pPr>
        <w:spacing w:after="160"/>
      </w:pPr>
      <w:r>
        <w:t>这个答复的价值比"查到一份修订文件"更大，因为它</w:t>
      </w:r>
      <w:r>
        <w:rPr>
          <w:b/>
        </w:rPr>
        <w:t>直接排除了两个最致命的竞争解释</w:t>
      </w:r>
      <w:r>
        <w:t>——审稿人一定会问"是不是新机器多普勒更灵敏""是不是来了专职小儿超声医师"，现在这两条都可以正面否掉。</w:t>
      </w:r>
    </w:p>
    <w:p>
      <w:pPr>
        <w:spacing w:after="160"/>
      </w:pPr>
      <w:r>
        <w:t>更重要的是，它和数据高度自洽：认知提升会同时带来①超声开单率上升（占手术患儿 13%→48%）、②按大血管项目开单的比例上升（28%→63%）、③漩涡征记录率上升（41%→54%）——但</w:t>
      </w:r>
      <w:r>
        <w:rPr>
          <w:b/>
        </w:rPr>
        <w:t>不会</w:t>
      </w:r>
      <w:r>
        <w:t>带来十二指肠评估的增加（9.4%→2.2%）。因为传开的认知是"肠旋转不良要看漩涡征"，而不是那套 D3／十二指肠空肠曲的解剖学方案。这正是全文论点本身，现在由操作者的自述提供了佐证。</w:t>
      </w:r>
    </w:p>
    <w:p>
      <w:pPr>
        <w:spacing w:after="160"/>
      </w:pPr>
      <w:r>
        <w:t>已写入正文两处：</w:t>
      </w:r>
    </w:p>
    <w:p>
      <w:pPr>
        <w:spacing w:after="160"/>
      </w:pPr>
      <w:r>
        <w:t xml:space="preserve">• </w:t>
      </w:r>
      <w:r>
        <w:rPr>
          <w:b/>
        </w:rPr>
        <w:t>Methods</w:t>
      </w:r>
      <w:r>
        <w:t>：删除 ⟦AUTHORS⟧ 占位符，改为"科室答复无设备、人员、规范变更，将 2021 年后的变化归因于对该病认知的加深"，并注明</w:t>
      </w:r>
      <w:r>
        <w:rPr>
          <w:b/>
        </w:rPr>
        <w:t>这是回溯性陈述而非当时的记录</w:t>
      </w:r>
      <w:r>
        <w:t>（这一句必须留着，否则等于把口述当成文献证据）。</w:t>
      </w:r>
    </w:p>
    <w:p>
      <w:pPr>
        <w:spacing w:after="160"/>
      </w:pPr>
      <w:r>
        <w:t xml:space="preserve">• </w:t>
      </w:r>
      <w:r>
        <w:rPr>
          <w:b/>
        </w:rPr>
        <w:t>Discussion</w:t>
      </w:r>
      <w:r>
        <w:t>：在时间趋势段加入科室自述，并点明"这份认知附着在漩涡征上而非十二指肠解剖，所以连改善本身也是朝查扭转的方向走的"；结论段的建议改为"仅靠认知就把检出率从 41% 推到 61%，但十二指肠仍无人评估——结构化报告的作用是把认知带来的零散进步固定下来"。</w:t>
      </w:r>
    </w:p>
    <w:p>
      <w:pPr>
        <w:spacing w:after="160"/>
      </w:pPr>
      <w:r>
        <w:t xml:space="preserve">投稿信同步加入这段。正文 </w:t>
      </w:r>
      <w:r>
        <w:rPr>
          <w:b/>
        </w:rPr>
        <w:t>2,997 词</w:t>
      </w:r>
      <w:r>
        <w:t>，仍在 3,000 内。</w:t>
      </w:r>
    </w:p>
    <w:p>
      <w:pPr>
        <w:spacing w:after="160"/>
      </w:pPr>
      <w:r>
        <w:t>一点提醒：2024–25 年大血管开单占比回落到 40–60%、检出率同步跌到 20–40%。如果认知驱动的说法成立，这可能反映人员流动或注意力衰减，是"认知不牢靠、需要结构化报告固定"的佐证。但这两年样本只有 5 例和 10 例，噪声太大，我</w:t>
      </w:r>
      <w:r>
        <w:rPr>
          <w:b/>
        </w:rPr>
        <w:t>没有</w:t>
      </w:r>
      <w:r>
        <w:t>写进论文。若你确认那期间确有人员变动且愿意承担被质疑样本量的风险，可以再议。</w:t>
      </w:r>
    </w:p>
    <w:p>
      <w:pPr>
        <w:pStyle w:val="Heading1"/>
      </w:pPr>
      <w:r>
        <w:t>三之五、四项收尾工作已完成</w:t>
      </w:r>
    </w:p>
    <w:p>
      <w:pPr>
        <w:spacing w:after="160"/>
      </w:pPr>
      <w:r>
        <w:rPr>
          <w:b/>
        </w:rPr>
        <w:t>1. STROBE checklist（`STROBE_checklist.docx`）</w:t>
      </w:r>
      <w:r>
        <w:t xml:space="preserve"> —— 22 大项 34 条全部逐条填好，定位到章节而非页码（页码会随期刊模板变动）。开头加了一段说明：本研究按 STROBE 队列研究报告，</w:t>
      </w:r>
      <w:r>
        <w:rPr>
          <w:b/>
        </w:rPr>
        <w:t>明确不套用 STARD</w:t>
      </w:r>
      <w:r>
        <w:t>，因为队列里没有阴性对照，不符合诊断准确性研究的定义。这一句放在 checklist 里很重要——编辑扫一眼就知道你们不是漏填 STARD，而是有意识地不用。</w:t>
      </w:r>
    </w:p>
    <w:p>
      <w:pPr>
        <w:spacing w:after="160"/>
      </w:pPr>
      <w:r>
        <w:rPr>
          <w:b/>
        </w:rPr>
        <w:t>2. Online Resource 1 的规则字典已变成可运行代码并通过验证</w:t>
      </w:r>
      <w:r>
        <w:t>（`Online_Resource_1_classifier.py`）。我把附录 C–F 节的规则写成 Python，跑完全部 740 份索引报告，与最终采用的判读标签比对：</w:t>
      </w:r>
    </w:p>
    <w:p>
      <w:pPr>
        <w:spacing w:after="160"/>
      </w:pPr>
      <w:r>
        <w:t xml:space="preserve">• 总体一致 </w:t>
      </w:r>
      <w:r>
        <w:rPr>
          <w:b/>
        </w:rPr>
        <w:t>723/740（97.7%）</w:t>
      </w:r>
      <w:r>
        <w:t>；造影 98.0%、CT 98.1%、超声 95.8%</w:t>
      </w:r>
    </w:p>
    <w:p>
      <w:pPr>
        <w:spacing w:after="160"/>
      </w:pPr>
      <w:r>
        <w:t xml:space="preserve">• 17 处不一致中 </w:t>
      </w:r>
      <w:r>
        <w:rPr>
          <w:b/>
        </w:rPr>
        <w:t>16 处是规则漏判、仅 1 处多判</w:t>
      </w:r>
      <w:r>
        <w:t xml:space="preserve"> —— 方向和论文声称的"判读偏保守"完全吻合，等于给这个说法提供了可复算的证据</w:t>
      </w:r>
    </w:p>
    <w:p>
      <w:pPr>
        <w:spacing w:after="160"/>
      </w:pPr>
      <w:r>
        <w:t>过程中查出并修正了两个真问题：否定词表漏了"未探及"（导致把一份明确写"未探及肠旋转不良征象"的报告judged为阳性）；以及我原先把"空肠位置"当成了阳性判据，而论文写明的造影判据只有十二指肠空肠曲异位和弹簧征——已删除，与正文一致。附录新增 J 节报告这个验证结果，并注明两点局限：比对的"金标准"本身部分来自规则分类，因此只能证明发表的规则能复现分析、不能证明规则本身对；以及表 2 的确定性分级是在裁定后的阳性集上算的，与规则自身的阳性集差这 17 份。</w:t>
      </w:r>
    </w:p>
    <w:p>
      <w:pPr>
        <w:spacing w:after="160"/>
      </w:pPr>
      <w:r>
        <w:t>审稿人 2 当初要求"最好把算法作为补充材料提供"，现在给的是可运行、可复算、且自带验证结果的版本。</w:t>
      </w:r>
    </w:p>
    <w:p>
      <w:pPr>
        <w:spacing w:after="160"/>
      </w:pPr>
      <w:r>
        <w:rPr>
          <w:b/>
        </w:rPr>
        <w:t>3. 标题页（`诊断效能_TitlePage_InsightsIntoImaging.docx`）</w:t>
      </w:r>
      <w:r>
        <w:t xml:space="preserve"> —— 已按新标题重做，作者、单位、通讯方式、伦理批件号 2026R018-E01、经费声明、作者贡献全部沿用原稿。补齐了 IiI 需要的 Running title、Article type、字数与图表数、以及 SpringerOpen 体例的 Declarations 分节。两位作者的 ORCID（Jun Shu 0009-0001-3003-1452、Jun Yang 0009-0006-0669-4340）与通讯作者电话（+86 186 2713 9911）已填入，两个 ORCID 的校验位我都用 ISO 7064 MOD 11-2 算法验过、均正确。Acknowledgements 写为 Not applicable。Hongqiang Bian 未提供 ORCID —— 共同作者非必填，已略去，日后要加随时可补。投稿信的收发信人信息与落款也一并填好，日期暂填 2026 年 9 月 2 日，实际投稿时改一下即可。</w:t>
      </w:r>
    </w:p>
    <w:p>
      <w:pPr>
        <w:spacing w:after="160"/>
      </w:pPr>
      <w:r>
        <w:rPr>
          <w:b/>
        </w:rPr>
        <w:t>4. 版面费</w:t>
      </w:r>
      <w:r>
        <w:t xml:space="preserve"> —— 搜索结果显示 IiI 2026 年 APC 为 </w:t>
      </w:r>
      <w:r>
        <w:rPr>
          <w:b/>
        </w:rPr>
        <w:t>€2,890 / £2,490 / US$3,390</w:t>
      </w:r>
      <w:r>
        <w:t>（另加当地税）。要点：</w:t>
      </w:r>
      <w:r>
        <w:rPr>
          <w:b/>
        </w:rPr>
        <w:t>ESR 会员没有专项折扣</w:t>
      </w:r>
      <w:r>
        <w:t>（学会已不再为会员承担该费用）；</w:t>
      </w:r>
      <w:r>
        <w:rPr>
          <w:b/>
        </w:rPr>
        <w:t>可在投稿过程中申请减免</w:t>
      </w:r>
      <w:r>
        <w:t>，由出版社或期刊个案审核，通常两周内答复；若通讯作者单位参加了 Springer Nature 的开放获取协议，可能全额或部分覆盖。这几条我是从搜索摘要读到的，期刊页面本身被本会话的网络策略挡着打不开，</w:t>
      </w:r>
      <w:r>
        <w:rPr>
          <w:b/>
        </w:rPr>
        <w:t>请你在投稿前到期刊 FAQ 页面核实金额</w:t>
      </w:r>
      <w:r>
        <w:t>，并顺便查一下华中科技大学／同济医学院是否在 Springer Nature 的机构协议名单内——如果在，这笔钱可能不用自付。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`Figure1_flow.png`、`Figure3_detection.png`、`Figure4_us_audit.png`（正文图 1–3，300 dpi）</w:t>
      </w:r>
    </w:p>
    <w:p>
      <w:pPr>
        <w:spacing w:after="160"/>
      </w:pPr>
      <w:r>
        <w:t>• `Figure2_paired.png`（附录 Figure S1）</w:t>
      </w:r>
    </w:p>
    <w:p>
      <w:pPr>
        <w:spacing w:after="160"/>
      </w:pPr>
      <w:r>
        <w:t>• `诊断效能_TitlePage_InsightsIntoImaging.docx` —— 已完成，无待填项</w:t>
      </w:r>
    </w:p>
    <w:p>
      <w:pPr>
        <w:spacing w:after="160"/>
      </w:pPr>
      <w:r>
        <w:t>• `STROBE_checklist.docx` —— 已逐条填好</w:t>
      </w:r>
    </w:p>
    <w:p>
      <w:pPr>
        <w:spacing w:after="160"/>
      </w:pPr>
      <w:r>
        <w:t>• `Online_Resource_1_classifier.py` —— 规则集的可运行实现，随 Online Resource 1 一并提交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六、仍需作者确认的内容（正文中以 ⟦AUTHORS: …⟧ 标出）</w:t>
      </w:r>
    </w:p>
    <w:p>
      <w:pPr>
        <w:spacing w:after="160"/>
      </w:pPr>
      <w:r>
        <w:t>超声检查方案/设备/人员在 2012–2026 年间是否有过正式变更及其日期。这一条若能补实，第三部分（年代变化由检查内容解释）的论证会显著加强。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