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t>Cover letter</w:t>
      </w:r>
    </w:p>
    <w:p>
      <w:pPr>
        <w:spacing w:after="120"/>
      </w:pPr>
      <w:r>
        <w:t>Jun Yang, MD</w:t>
      </w:r>
    </w:p>
    <w:p>
      <w:pPr>
        <w:spacing w:after="120"/>
      </w:pPr>
      <w:r>
        <w:t>Department of General Surgery, Wuhan Children's Hospital (Wuhan Maternal and Child Healthcare Hospital),</w:t>
      </w:r>
    </w:p>
    <w:p>
      <w:pPr>
        <w:spacing w:after="120"/>
      </w:pPr>
      <w:r>
        <w:t>Tongji Medical College, Huazhong University of Science and Technology, Wuhan 430016, Hubei, China</w:t>
      </w:r>
    </w:p>
    <w:p>
      <w:pPr>
        <w:spacing w:after="120"/>
      </w:pPr>
      <w:r>
        <w:t>Email: yjun201602@163.com  |  Telephone: +86 186 2713 9911  |  ORCID: 0009-0006-0669-4340</w:t>
      </w:r>
    </w:p>
    <w:p>
      <w:pPr>
        <w:spacing w:after="120"/>
      </w:pPr>
      <w:r>
        <w:t>2 September 2026</w:t>
      </w:r>
    </w:p>
    <w:p>
      <w:pPr>
        <w:spacing w:after="120"/>
      </w:pPr>
      <w:r>
        <w:t>The Editor-in-Chief</w:t>
      </w:r>
    </w:p>
    <w:p>
      <w:pPr>
        <w:spacing w:after="120"/>
      </w:pPr>
      <w:r>
        <w:rPr>
          <w:i/>
        </w:rPr>
        <w:t>Insights into Imaging</w:t>
      </w:r>
    </w:p>
    <w:p>
      <w:pPr>
        <w:spacing w:after="120"/>
      </w:pPr>
      <w:r>
        <w:t>Dear Editor,</w:t>
      </w:r>
    </w:p>
    <w:p>
      <w:pPr>
        <w:spacing w:after="12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2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20"/>
      </w:pPr>
      <w:r>
        <w:t xml:space="preserve">We audited 13.5 years of routine reports at a tertiary children's hospital — 740 preoperative index examinations in 465 children with surgically confirmed malrotation — coding each report both for whether it named the diagnosis and for the technical elements it documented. The central finding is that </w:t>
      </w:r>
      <w:r>
        <w:rPr>
          <w:b/>
        </w:rPr>
        <w:t>not one of 119 ultrasound reports documented D3 or the duodenojejunal junction</w:t>
      </w:r>
      <w:r>
        <w:t>; the superior mesenteric artery–vein relationship appeared in 8.4% and enteric fluid in one report, whereas a whirlpool sign appeared in half. Detection tracked that content almost deterministically: ultrasound named malrotation in 59 of 59 examinations in which a whirlpool was recorded and in 6 of 60 in which it was not. In routine practice, ultrasound for malrotation functioned as a test for midgut volvulus rather than for the rotational anomaly itself.</w:t>
      </w:r>
    </w:p>
    <w:p>
      <w:pPr>
        <w:spacing w:after="12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department's own account matches: it reports no change of equipment, staff or protocol over the period, and attributes the shift from about 2021 to growing awareness of the diagnosis — awareness that attached to the whirlpool sign rather than to duodenal anatomy, which is why detection rose while duodenal documentation did not. The gap between published and delivered ultrasound performance is therefore a gap in technique and reporting — measurable by audit, and correctable.</w:t>
      </w:r>
    </w:p>
    <w:p>
      <w:pPr>
        <w:spacing w:after="12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2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20"/>
      </w:pPr>
      <w:r>
        <w:t>⟦OPTIONAL — keep or delete, your call: 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2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20"/>
      </w:pPr>
      <w:r>
        <w:t>Thank you for considering our work.</w:t>
      </w:r>
    </w:p>
    <w:p>
      <w:pPr>
        <w:spacing w:after="120"/>
      </w:pPr>
      <w:r>
        <w:t>Yours sincerely,</w:t>
      </w:r>
    </w:p>
    <w:p>
      <w:pPr>
        <w:spacing w:after="120"/>
      </w:pPr>
      <w:r>
        <w:t>Jun Yang, MD</w:t>
      </w:r>
    </w:p>
    <w:p>
      <w:pPr>
        <w:spacing w:after="12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