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Ultrasound whirlpool sign, n/N (%; 95% CI)</w:t>
            </w:r>
          </w:p>
        </w:tc>
        <w:tc>
          <w:tcPr>
            <w:tcW w:type="dxa" w:w="2340"/>
          </w:tcPr>
          <w:p>
            <w:r/>
            <w:r>
              <w:rPr>
                <w:rFonts w:ascii="Times New Roman" w:hAnsi="Times New Roman"/>
                <w:sz w:val="17"/>
              </w:rPr>
              <w:t>30/59 (50.8; 38.4–63.2)</w:t>
            </w:r>
          </w:p>
        </w:tc>
        <w:tc>
          <w:tcPr>
            <w:tcW w:type="dxa" w:w="2340"/>
          </w:tcPr>
          <w:p>
            <w:r/>
            <w:r>
              <w:rPr>
                <w:rFonts w:ascii="Times New Roman" w:hAnsi="Times New Roman"/>
                <w:sz w:val="17"/>
              </w:rPr>
              <w:t>27/47 (57.4; 43.3–70.5)</w:t>
            </w:r>
          </w:p>
        </w:tc>
        <w:tc>
          <w:tcPr>
            <w:tcW w:type="dxa" w:w="2340"/>
          </w:tcPr>
          <w:p>
            <w:r/>
            <w:r>
              <w:rPr>
                <w:rFonts w:ascii="Times New Roman" w:hAnsi="Times New Roman"/>
                <w:sz w:val="17"/>
              </w:rPr>
              <w:t>19/31 (61.3; 43.8–76.3)</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UGI contrast series</w:t>
            </w:r>
          </w:p>
        </w:tc>
        <w:tc>
          <w:tcPr>
            <w:tcW w:type="dxa" w:w="3120"/>
          </w:tcPr>
          <w:p>
            <w:r/>
            <w:r>
              <w:rPr>
                <w:rFonts w:ascii="Times New Roman" w:hAnsi="Times New Roman"/>
                <w:sz w:val="17"/>
              </w:rPr>
              <w:t>131/268</w:t>
            </w:r>
          </w:p>
        </w:tc>
        <w:tc>
          <w:tcPr>
            <w:tcW w:type="dxa" w:w="3120"/>
          </w:tcPr>
          <w:p>
            <w:r/>
            <w:r>
              <w:rPr>
                <w:rFonts w:ascii="Times New Roman" w:hAnsi="Times New Roman"/>
                <w:sz w:val="17"/>
              </w:rPr>
              <w:t>48.9 (43.0–54.8)</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59/113</w:t>
            </w:r>
          </w:p>
        </w:tc>
        <w:tc>
          <w:tcPr>
            <w:tcW w:type="dxa" w:w="3120"/>
          </w:tcPr>
          <w:p>
            <w:r/>
            <w:r>
              <w:rPr>
                <w:rFonts w:ascii="Times New Roman" w:hAnsi="Times New Roman"/>
                <w:sz w:val="17"/>
              </w:rPr>
              <w:t>52.2 (43.1–61.2)</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116/281</w:t>
            </w:r>
          </w:p>
        </w:tc>
        <w:tc>
          <w:tcPr>
            <w:tcW w:type="dxa" w:w="3120"/>
          </w:tcPr>
          <w:p>
            <w:r/>
            <w:r>
              <w:rPr>
                <w:rFonts w:ascii="Times New Roman" w:hAnsi="Times New Roman"/>
                <w:sz w:val="17"/>
              </w:rPr>
              <w:t>41.3 (35.7–47.1)</w:t>
            </w:r>
          </w:p>
        </w:tc>
      </w:tr>
    </w:tbl>
    <w:p>
      <w:pPr>
        <w:spacing w:after="160"/>
      </w:pPr>
    </w:p>
    <w:p>
      <w:pPr>
        <w:spacing w:after="160"/>
      </w:pPr>
      <w:r>
        <w:t>A volvulus-specific sign was defined as a whirlpool or corkscrew appearance, or an explicit report of a twist. In the subgroup of 57 children with confirmed volvulus who received all three examinations, ultrasound and the UGI series reported such a sign at similar rates and both numerically more often than CT, but no pairwise comparison was robust: under the pre-specified text definition used here, ultrasound versus CT gave p=0.13 and Cochran's Q p=0.12. An earlier version of this analysis, using a narrower sign definition, produced a nominally significant ultrasound-versus-CT difference (p=0.041). Because the result is sensitive to how the sign is defined, it is reported here as exploratory and no claim of a difference between modalities is made.</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