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论文全面修改说明（中文）</w:t>
      </w:r>
    </w:p>
    <w:p>
      <w:pPr>
        <w:spacing w:after="160"/>
      </w:pPr>
      <w:r>
        <w:t>依据 Pediatric Radiology 编辑部回复（Section Editor Sodhi 教授 3 条、审稿人 1 共 5 条、审稿人 2 共 10 条大意见 + 小意见与文献意见）对论文进行的全面重写与再分析说明。</w:t>
      </w:r>
    </w:p>
    <w:p>
      <w:pPr>
        <w:pStyle w:val="Heading1"/>
      </w:pPr>
      <w:r>
        <w:t>一、核心判断：为什么必须重构，而不是修补</w:t>
      </w:r>
    </w:p>
    <w:p>
      <w:pPr>
        <w:spacing w:after="160"/>
      </w:pPr>
      <w:r>
        <w:t>三方意见指向同一个结论：</w:t>
      </w:r>
      <w:r>
        <w:rPr>
          <w:b/>
        </w:rPr>
        <w:t>本研究的设计不能支持"三种检查诊断效能比较"这一命题</w:t>
      </w:r>
      <w:r>
        <w:t>。队列全部由手术确诊病例构成，没有阴性对照人群；三种检查的分母完全不同（造影 301、CT 320、超声 119，三项齐全仅 59），且检查是临床按适应证选择的。继续以"敏感度比较"为框架，无论加多少限制性语句都无法通过评审。</w:t>
      </w:r>
    </w:p>
    <w:p>
      <w:pPr>
        <w:spacing w:after="160"/>
      </w:pPr>
      <w:r>
        <w:t>因此本次修改不是补充讨论，而是</w:t>
      </w:r>
      <w:r>
        <w:rPr>
          <w:b/>
        </w:rPr>
        <w:t>换掉研究问题</w:t>
      </w:r>
      <w:r>
        <w:t>：从"哪种检查更准"改为"</w:t>
      </w:r>
      <w:r>
        <w:rPr>
          <w:b/>
        </w:rPr>
        <w:t>常规报告到底写了什么、为什么超声在真实世界远低于文献</w:t>
      </w:r>
      <w:r>
        <w:t>"。这正是审稿人 1 第 4 条明确指出的"真正的新意所在"，也是审稿人 2 第 2/3/4/10 条要求补充的内容。</w:t>
      </w:r>
    </w:p>
    <w:p>
      <w:pPr>
        <w:pStyle w:val="Heading1"/>
      </w:pPr>
      <w:r>
        <w:t>二、新增的关键分析与结果（全部由原始数据重新计算）</w:t>
      </w:r>
    </w:p>
    <w:p>
      <w:pPr>
        <w:spacing w:after="160"/>
      </w:pPr>
      <w:r>
        <w:rPr>
          <w:b/>
        </w:rPr>
        <w:t>1. 超声报告内容审计（本次修改的核心，新表 3 + 新图 4）</w:t>
      </w:r>
    </w:p>
    <w:p>
      <w:pPr>
        <w:spacing w:after="160"/>
      </w:pPr>
      <w:r>
        <w:t>对全部 119 份超声索引报告逐份审计其记录的技术要素，结果：</w:t>
      </w:r>
    </w:p>
    <w:p>
      <w:pPr>
        <w:spacing w:after="160"/>
      </w:pPr>
      <w:r>
        <w:t>• 记录十二指肠水平段（D3）或十二指肠空肠曲者：</w:t>
      </w:r>
      <w:r>
        <w:rPr>
          <w:b/>
        </w:rPr>
        <w:t>0/119（0%）</w:t>
      </w:r>
    </w:p>
    <w:p>
      <w:pPr>
        <w:spacing w:after="160"/>
      </w:pPr>
      <w:r>
        <w:t>• 提及十二指肠（任何形式）：6（5.0%）</w:t>
      </w:r>
    </w:p>
    <w:p>
      <w:pPr>
        <w:spacing w:after="160"/>
      </w:pPr>
      <w:r>
        <w:t>• 描述肠系膜上动静脉关系：10（8.4%）</w:t>
      </w:r>
    </w:p>
    <w:p>
      <w:pPr>
        <w:spacing w:after="160"/>
      </w:pPr>
      <w:r>
        <w:t>• 明确写出动静脉换位：1（0.8%）——而"动静脉换位"本是本研究判读阳性的两条标准之一</w:t>
      </w:r>
    </w:p>
    <w:p>
      <w:pPr>
        <w:spacing w:after="160"/>
      </w:pPr>
      <w:r>
        <w:t>• 记录口服/胃管注水（enteric fluid）：1（0.8%）</w:t>
      </w:r>
    </w:p>
    <w:p>
      <w:pPr>
        <w:spacing w:after="160"/>
      </w:pPr>
      <w:r>
        <w:t>• 记录漩涡征：59（49.6%）</w:t>
      </w:r>
    </w:p>
    <w:p>
      <w:pPr>
        <w:spacing w:after="160"/>
      </w:pPr>
      <w:r>
        <w:t>• 明确写"肠气干扰/显示不清"：26（21.8%）</w:t>
      </w:r>
    </w:p>
    <w:p>
      <w:pPr>
        <w:spacing w:after="160"/>
      </w:pPr>
      <w:r>
        <w:t>检出几乎完全由内容决定：</w:t>
      </w:r>
      <w:r>
        <w:rPr>
          <w:b/>
        </w:rPr>
        <w:t>记录漩涡征者 59/59 阳性（100%），未记录者 6/60（10.0%）</w:t>
      </w:r>
      <w:r>
        <w:t>；描述动静脉关系者 10/10 阳性。</w:t>
      </w:r>
    </w:p>
    <w:p>
      <w:pPr>
        <w:spacing w:after="160"/>
      </w:pPr>
      <w:r>
        <w:t>结论：本院常规超声实际上是一项"</w:t>
      </w:r>
      <w:r>
        <w:rPr>
          <w:b/>
        </w:rPr>
        <w:t>中肠扭转检测</w:t>
      </w:r>
      <w:r>
        <w:t>"，而不是"肠旋转不良检测"。文献 93–97% 的敏感度依赖 D3、十二指肠空肠曲、注水、动静脉关系等要素，而这些要素在我们 119 份报告中几乎完全缺失。这就把"真实世界超声差"从一句结论变成了</w:t>
      </w:r>
      <w:r>
        <w:rPr>
          <w:b/>
        </w:rPr>
        <w:t>有机制、可纠正的发现</w:t>
      </w:r>
      <w:r>
        <w:t>。</w:t>
      </w:r>
    </w:p>
    <w:p>
      <w:pPr>
        <w:spacing w:after="160"/>
      </w:pPr>
      <w:r>
        <w:rPr>
          <w:b/>
        </w:rPr>
        <w:t>2. 时间趋势的机制分析（新表 6，回应审稿人 2 第 10 条）</w:t>
      </w:r>
    </w:p>
    <w:p>
      <w:pPr>
        <w:spacing w:after="160"/>
      </w:pPr>
      <w:r>
        <w:t>超声检出率 41.0%（2012–2018）→ 61.3%（2019–2026）。进一步分析发现：报告类型从"胃肠道彩超"（74.4%→48.8%）转向"腹部大血管彩超"（28.2%→62.5%，Fisher p&lt;0.001）。</w:t>
      </w:r>
    </w:p>
    <w:p>
      <w:pPr>
        <w:spacing w:after="160"/>
      </w:pPr>
      <w:r>
        <w:t>中介式模型：年代 OR 2.27（1.04–4.96, p=0.039）→ 加入"血管导向检查"变量后年代 OR 降至 1.56（0.67–3.62, p=0.30），而检查类型 OR 3.46（1.56–7.67, p=0.002）。做血管导向检查时两个年代检出率几乎相同（72.7% vs 70.0%）。</w:t>
      </w:r>
    </w:p>
    <w:p>
      <w:pPr>
        <w:spacing w:after="160"/>
      </w:pPr>
      <w:r>
        <w:t>即：</w:t>
      </w:r>
      <w:r>
        <w:rPr>
          <w:b/>
        </w:rPr>
        <w:t>进步来自"做法变了"，不是"时间过去了"</w:t>
      </w:r>
      <w:r>
        <w:t>。CT 部分由增强比例上升（12.1%→24.8%）解释（增强 OR 5.53）；造影技术未变，年代效应不显著（OR 1.38, p=0.30）——这是一个很好的内部一致性验证。</w:t>
      </w:r>
    </w:p>
    <w:p>
      <w:pPr>
        <w:spacing w:after="160"/>
      </w:pPr>
      <w:r>
        <w:rPr>
          <w:b/>
        </w:rPr>
        <w:t>3. 55 例"无术前影像"的真相（回应审稿人 1 第 1 条，最要紧的一条）</w:t>
      </w:r>
    </w:p>
    <w:p>
      <w:pPr>
        <w:spacing w:after="160"/>
      </w:pPr>
      <w:r>
        <w:t>原稿写法确实会让人误解。重新核查原始记录后：这 55 例</w:t>
      </w:r>
      <w:r>
        <w:rPr>
          <w:b/>
        </w:rPr>
        <w:t>没有一例是"无影像下手术"</w:t>
      </w:r>
      <w:r>
        <w:t>，他们只是没有做三种索引检查中的任何一种。</w:t>
      </w:r>
    </w:p>
    <w:p>
      <w:pPr>
        <w:spacing w:after="160"/>
      </w:pPr>
      <w:r>
        <w:t>• 46 例做过 X 线平片（其中 44 例含腹部）</w:t>
      </w:r>
    </w:p>
    <w:p>
      <w:pPr>
        <w:spacing w:after="160"/>
      </w:pPr>
      <w:r>
        <w:t>• 12 例做过钡剂/碘水灌肠（结肠造影，未计入 UGI）</w:t>
      </w:r>
    </w:p>
    <w:p>
      <w:pPr>
        <w:spacing w:after="160"/>
      </w:pPr>
      <w:r>
        <w:t>• 22 例做过其他部位超声、7 例做过其他部位 CT</w:t>
      </w:r>
    </w:p>
    <w:p>
      <w:pPr>
        <w:spacing w:after="160"/>
      </w:pPr>
      <w:r>
        <w:t>• 仅 5 例院内无任何术前影像——而这 5 例的入院记录</w:t>
      </w:r>
      <w:r>
        <w:rPr>
          <w:b/>
        </w:rPr>
        <w:t>全部</w:t>
      </w:r>
      <w:r>
        <w:t>记载了转诊前的外院影像，其中 3 例外院影像已提示旋转不良/肠扭转</w:t>
      </w:r>
    </w:p>
    <w:p>
      <w:pPr>
        <w:spacing w:after="160"/>
      </w:pPr>
      <w:r>
        <w:t>• 全部 55 例中，33 例入院记录记载既往/外院影像，19 例该影像已报告旋转不良或扭转</w:t>
      </w:r>
    </w:p>
    <w:p>
      <w:pPr>
        <w:spacing w:after="160"/>
      </w:pPr>
      <w:r>
        <w:t>新图 1（流程图）已把这一分解画进去。</w:t>
      </w:r>
    </w:p>
    <w:p>
      <w:pPr>
        <w:spacing w:after="160"/>
      </w:pPr>
      <w:r>
        <w:rPr>
          <w:b/>
        </w:rPr>
        <w:t>4. 适应证混杂的展示（新表 1，回应审稿人 2 第 7 条）</w:t>
      </w:r>
    </w:p>
    <w:p>
      <w:pPr>
        <w:spacing w:after="160"/>
      </w:pPr>
      <w:r>
        <w:t>不再试图"调整掉"混杂，而是直接展示。按接受检查的分组列出年龄、新生儿比例、性别、年代、扭转、以及呕吐/胆汁性呕吐/腹胀/血便/腹痛/反复症状/休克的记录率。关键差异：超声组扭转比例更高（95.0% vs 89.0%/87.8%），且高度集中在后期（67.2% vs 31.9%/32.8%）；超声使用率从 13% 升至 48%。</w:t>
      </w:r>
    </w:p>
    <w:p>
      <w:pPr>
        <w:spacing w:after="160"/>
      </w:pPr>
      <w:r>
        <w:rPr>
          <w:b/>
        </w:rPr>
        <w:t>5. 检查顺序与并入偏倚的量化（回应审稿人 1 第 5 条、审稿人 2 第 6 条）</w:t>
      </w:r>
    </w:p>
    <w:p>
      <w:pPr>
        <w:spacing w:after="160"/>
      </w:pPr>
      <w:r>
        <w:t>在 271 例做过 ≥2 种检查的患儿中，</w:t>
      </w:r>
      <w:r>
        <w:rPr>
          <w:b/>
        </w:rPr>
        <w:t>CT 是第一项检查者 183 例（67.5%），造影是术前最后一项者 184 例（67.9%）</w:t>
      </w:r>
      <w:r>
        <w:t>；就造影本身而言，它在 245 例中有 184 例（75.1%）是术前最后一项检查，而 CT 仅 19.2%、超声 36.8%。造影在"最后一项"位置的检出率 80.4%，在更早位置 70.5%。</w:t>
      </w:r>
    </w:p>
    <w:p>
      <w:pPr>
        <w:spacing w:after="160"/>
      </w:pPr>
      <w:r>
        <w:t>即造影在本院是"手术前的确认性检查"，这是</w:t>
      </w:r>
      <w:r>
        <w:rPr>
          <w:b/>
        </w:rPr>
        <w:t>诊断路径的属性，不是检查本身的属性</w:t>
      </w:r>
      <w:r>
        <w:t>；加上术者知晓影像结果、以手术诊断为金标准，并入偏倚在不同检查之间是</w:t>
      </w:r>
      <w:r>
        <w:rPr>
          <w:b/>
        </w:rPr>
        <w:t>不对称</w:t>
      </w:r>
      <w:r>
        <w:t>的。现在明确写出"是的，阳性造影确实会推动手术决策"，并以此作为"本数据不能给检查排名"的理由。</w:t>
      </w:r>
    </w:p>
    <w:p>
      <w:pPr>
        <w:spacing w:after="160"/>
      </w:pPr>
      <w:r>
        <w:rPr>
          <w:b/>
        </w:rPr>
        <w:t>6. 配对队列的选择性与时间敏感性分析（新表 5 + 新图 2，回应编辑第 2 条、审稿人 2 第 8 条）</w:t>
      </w:r>
    </w:p>
    <w:p>
      <w:pPr>
        <w:spacing w:after="160"/>
      </w:pPr>
      <w:r>
        <w:t>量化选择性：59 例中扭转 96.6%（其余影像组 86.6%）、新生儿 83.1%（65.5%）、后期年代 62.7%（31.3%）。</w:t>
      </w:r>
    </w:p>
    <w:p>
      <w:pPr>
        <w:spacing w:after="160"/>
      </w:pPr>
      <w:r>
        <w:t>时间：三项检查首末间隔中位 0.9 天（IQR 0.6–1.6），47 例（79.7%）在 48 小时内、31 例（52.5%）在 24 小时内。分别在 48h / 24h 窗口内重做全部配对分析：48h 内造影/超声/CT 为 83.0%/59.6%/48.9%（Q p&lt;0.001）；24h 内 87.1%/64.5%/51.6%（Q p=0.002）。</w:t>
      </w:r>
      <w:r>
        <w:rPr>
          <w:b/>
        </w:rPr>
        <w:t>结论未被削弱</w:t>
      </w:r>
      <w:r>
        <w:t>，但文中明确写明"任何时间限制都无法消除该亚组本身的选择性"。</w:t>
      </w:r>
    </w:p>
    <w:p>
      <w:pPr>
        <w:spacing w:after="160"/>
      </w:pPr>
      <w:r>
        <w:rPr>
          <w:b/>
        </w:rPr>
        <w:t>7. 模糊措辞的分层统计与敏感性分析（新表 2，回应审稿人 2 第 5 条）</w:t>
      </w:r>
    </w:p>
    <w:p>
      <w:pPr>
        <w:spacing w:after="160"/>
      </w:pPr>
      <w:r>
        <w:t>阳性结论的确定性分级：确定性措辞 造影 32.9% / CT 19.9% / 超声 24.6%；"可能性"措辞（可疑、不除外、？）造影 35.0% / CT 36.3% / 超声 49.2%。把全部"可能性"措辞改判为阴性后：造影 51.2%、CT 34.1%、超声 27.7%——</w:t>
      </w:r>
      <w:r>
        <w:rPr>
          <w:b/>
        </w:rPr>
        <w:t>排序不变</w:t>
      </w:r>
      <w:r>
        <w:t>，但超声下降幅度最大。</w:t>
      </w:r>
    </w:p>
    <w:p>
      <w:pPr>
        <w:spacing w:after="160"/>
      </w:pPr>
      <w:r>
        <w:rPr>
          <w:b/>
        </w:rPr>
        <w:t>8. 交互作用检验的诚实处理（回应审稿人 2 第 9 条）</w:t>
      </w:r>
    </w:p>
    <w:p>
      <w:pPr>
        <w:spacing w:after="160"/>
      </w:pPr>
      <w:r>
        <w:t>原稿报告的"超声×扭转 p=0.580"是</w:t>
      </w:r>
      <w:r>
        <w:rPr>
          <w:b/>
        </w:rPr>
        <w:t>不可解释的</w:t>
      </w:r>
      <w:r>
        <w:t>：6 例无扭转患儿的超声无一阳性，造成完全分离（complete separation），模型不收敛。已删除该 p 值，改为只报告可估计的 UGI vs CT 交互（OR 0.90, 0.33–2.43, p=0.84），并明确说明不收敛的原因。</w:t>
      </w:r>
    </w:p>
    <w:p>
      <w:pPr>
        <w:pStyle w:val="Heading1"/>
      </w:pPr>
      <w:r>
        <w:t>三、结构性改动清单</w:t>
      </w:r>
    </w:p>
    <w:p>
      <w:pPr>
        <w:spacing w:after="160"/>
      </w:pPr>
      <w:r>
        <w:t xml:space="preserve">• </w:t>
      </w:r>
      <w:r>
        <w:rPr>
          <w:b/>
        </w:rPr>
        <w:t>标题</w:t>
      </w:r>
      <w:r>
        <w:t>改为："Routine ultrasound reports for intestinal malrotation rarely document duodenal landmarks: a report-level audit of 740 preoperative examinations in 465 surgically confirmed children"</w:t>
      </w:r>
    </w:p>
    <w:p>
      <w:pPr>
        <w:spacing w:after="160"/>
      </w:pPr>
      <w:r>
        <w:t>• 全文</w:t>
      </w:r>
      <w:r>
        <w:rPr>
          <w:b/>
        </w:rPr>
        <w:t>删除"sensitivity"一词</w:t>
      </w:r>
      <w:r>
        <w:t>用于本研究结果（仅在引用文献时保留），统一为 "report-level detection rate among surgically confirmed cases"</w:t>
      </w:r>
    </w:p>
    <w:p>
      <w:pPr>
        <w:spacing w:after="160"/>
      </w:pPr>
      <w:r>
        <w:t>• 新增方法学小节 "Design, terminology and what this study can and cannot estimate"，明确不遵循 STARD、不可估计特异度/预测值/排名</w:t>
      </w:r>
    </w:p>
    <w:p>
      <w:pPr>
        <w:spacing w:after="160"/>
      </w:pPr>
      <w:r>
        <w:t>• 新增术语小节：malrotation / midgut volvulus / malrotation with volvulus 三者区分（审稿人 2 小意见 1）</w:t>
      </w:r>
    </w:p>
    <w:p>
      <w:pPr>
        <w:spacing w:after="160"/>
      </w:pPr>
      <w:r>
        <w:t xml:space="preserve">• </w:t>
      </w:r>
      <w:r>
        <w:rPr>
          <w:b/>
        </w:rPr>
        <w:t>摘要结论重写</w:t>
      </w:r>
      <w:r>
        <w:t>，不再说"造影最高"，与讨论一致（审稿人 1 第 2 条）</w:t>
      </w:r>
    </w:p>
    <w:p>
      <w:pPr>
        <w:spacing w:after="160"/>
      </w:pPr>
      <w:r>
        <w:t xml:space="preserve">• </w:t>
      </w:r>
      <w:r>
        <w:rPr>
          <w:b/>
        </w:rPr>
        <w:t>增强 CT 与造影的比较移出摘要</w:t>
      </w:r>
      <w:r>
        <w:t>，仅在表 2 与讨论中作为混杂的探索性亚组出现（审稿人 1 第 3 条）</w:t>
      </w:r>
    </w:p>
    <w:p>
      <w:pPr>
        <w:spacing w:after="160"/>
      </w:pPr>
      <w:r>
        <w:t>• 图 3 重画：每条估计的分母加粗写在坐标标签中，图题直接写明"分母不同、不是敏感度、不可互相比较"（审稿人 2 小意见 4）</w:t>
      </w:r>
    </w:p>
    <w:p>
      <w:pPr>
        <w:spacing w:after="160"/>
      </w:pPr>
      <w:r>
        <w:t>• 表格由 6 张（重构）+ 图 4 张（新增图 4）+ 3 个 Online Resource</w:t>
      </w:r>
    </w:p>
    <w:p>
      <w:pPr>
        <w:spacing w:after="160"/>
      </w:pPr>
      <w:r>
        <w:t>• 新增文献 4 篇：Binu 2021（J Pediatr Surg 56:2224-8）、Menten 2012（Pediatr Radiol 42:941-5，D3 腹膜后位）、Hennessey 2014（Pediatr Radiol 44:387-91，注水评估 D3）、Karmazyn &amp; Cohen 2015（Pediatr Radiol 45:138-9，</w:t>
      </w:r>
      <w:r>
        <w:rPr>
          <w:b/>
        </w:rPr>
        <w:t>反方观点</w:t>
      </w:r>
      <w:r>
        <w:t>，说明单凭 D3 位置不能确诊）</w:t>
      </w:r>
    </w:p>
    <w:p>
      <w:pPr>
        <w:pStyle w:val="Heading1"/>
      </w:pPr>
      <w:r>
        <w:t>四、与旧稿数字的差异（务必知悉）</w:t>
      </w:r>
    </w:p>
    <w:p>
      <w:pPr>
        <w:spacing w:after="160"/>
      </w:pPr>
      <w:r>
        <w:t>为做新分析而从原始数据重建数据集时，发现旧稿的</w:t>
      </w:r>
      <w:r>
        <w:rPr>
          <w:b/>
        </w:rPr>
        <w:t>年龄变量把部分多次住院患儿关联到了错误的住院次</w:t>
      </w:r>
      <w:r>
        <w:t>。新版把每条手术记录关联到"包含该次手术的那次住院"（465 例手术日期全部落在关联住院的入出院区间内，已验证）。由此产生的差异：</w:t>
      </w:r>
    </w:p>
    <w:p>
      <w:pPr>
        <w:spacing w:after="160"/>
      </w:pPr>
      <w:r>
        <w:t xml:space="preserve">• 手术时中位年龄：11 天 → </w:t>
      </w:r>
      <w:r>
        <w:rPr>
          <w:b/>
        </w:rPr>
        <w:t>13 天</w:t>
      </w:r>
      <w:r>
        <w:t>（IQR 7 天–2.8 个月）</w:t>
      </w:r>
    </w:p>
    <w:p>
      <w:pPr>
        <w:spacing w:after="160"/>
      </w:pPr>
      <w:r>
        <w:t xml:space="preserve">• 新生儿：304 → </w:t>
      </w:r>
      <w:r>
        <w:rPr>
          <w:b/>
        </w:rPr>
        <w:t>302</w:t>
      </w:r>
      <w:r>
        <w:t>（64.9%）</w:t>
      </w:r>
    </w:p>
    <w:p>
      <w:pPr>
        <w:spacing w:after="160"/>
      </w:pPr>
      <w:r>
        <w:t xml:space="preserve">• 年代划分：298/167 → </w:t>
      </w:r>
      <w:r>
        <w:rPr>
          <w:b/>
        </w:rPr>
        <w:t>299/166</w:t>
      </w:r>
    </w:p>
    <w:p>
      <w:pPr>
        <w:spacing w:after="160"/>
      </w:pPr>
      <w:r>
        <w:t xml:space="preserve">• 术中扭转：400 → </w:t>
      </w:r>
      <w:r>
        <w:rPr>
          <w:b/>
        </w:rPr>
        <w:t>403</w:t>
      </w:r>
      <w:r>
        <w:t>（86.7%）</w:t>
      </w:r>
    </w:p>
    <w:p>
      <w:pPr>
        <w:spacing w:after="160"/>
      </w:pPr>
      <w:r>
        <w:t xml:space="preserve">• 增强 CT 检出：43/52 → </w:t>
      </w:r>
      <w:r>
        <w:rPr>
          <w:b/>
        </w:rPr>
        <w:t>44/52</w:t>
      </w:r>
      <w:r>
        <w:t>（84.6%）</w:t>
      </w:r>
    </w:p>
    <w:p>
      <w:pPr>
        <w:spacing w:after="160"/>
      </w:pPr>
      <w:r>
        <w:rPr>
          <w:b/>
        </w:rPr>
        <w:t>所有影像学分母与检出计数完全一致</w:t>
      </w:r>
      <w:r>
        <w:t>（造影 301、CT 320、超声 119、三项齐全 59、有影像 410、索引检查 740 次；检出 237/171/65），GEE 未调整 OR 也</w:t>
      </w:r>
      <w:r>
        <w:rPr>
          <w:b/>
        </w:rPr>
        <w:t>精确复现</w:t>
      </w:r>
      <w:r>
        <w:t>（0.31 [0.22–0.44]、0.33 [0.21–0.50]），McNemar 与 Cochran Q 亦精确复现。差异均不影响任何结论，已在回复信"Additional changes"一节中主动向编辑说明。</w:t>
      </w:r>
    </w:p>
    <w:p>
      <w:pPr>
        <w:spacing w:after="160"/>
      </w:pPr>
      <w:r>
        <w:t>另需注意：旧表 6（扭转特异征象）中"超声优于 CT，p=0.041"在我用明确的文本定义重算时为 p=0.13，对征象定义敏感。</w:t>
      </w:r>
      <w:r>
        <w:rPr>
          <w:b/>
        </w:rPr>
        <w:t>已把该分析移入 Online Resource 2，并删除"显著优于"的措辞</w:t>
      </w:r>
      <w:r>
        <w:t>，改述为探索性、对定义敏感。表 6 的原始比例数字仍保留你们已核对的版本（131/268、59/113、116/281）。</w:t>
      </w:r>
    </w:p>
    <w:p>
      <w:pPr>
        <w:pStyle w:val="Heading1"/>
      </w:pPr>
      <w:r>
        <w:t>五、需要作者确认的事项（文中以 ⟦AUTHORS: …⟧ 标出）</w:t>
      </w:r>
    </w:p>
    <w:p>
      <w:pPr>
        <w:spacing w:after="160"/>
      </w:pPr>
      <w:r>
        <w:t xml:space="preserve">1. </w:t>
      </w:r>
      <w:r>
        <w:rPr>
          <w:b/>
        </w:rPr>
        <w:t>超声检查方案是否曾正式变更</w:t>
      </w:r>
      <w:r>
        <w:t>（含设备更新、是否引入专职小儿超声医师、报告模板变化及其时间）。文中现写"未能在科室记录中找到正式的方案修订文件"，若实际存在，请补充并注明日期——这会显著加强第 2 部分第 2 条的论证。</w:t>
      </w:r>
    </w:p>
    <w:p>
      <w:pPr>
        <w:spacing w:after="160"/>
      </w:pPr>
      <w:r>
        <w:t>2. Online Resource 1 中 A–F 节的规则字典是按论文所述规则</w:t>
      </w:r>
      <w:r>
        <w:rPr>
          <w:b/>
        </w:rPr>
        <w:t>明确化表达</w:t>
      </w:r>
      <w:r>
        <w:t>的版本，请与你们实际运行的脚本逐条核对后再投稿；若能直接提供脚本或伪代码更好（审稿人 2 明确要求）。</w:t>
      </w:r>
    </w:p>
    <w:p>
      <w:pPr>
        <w:spacing w:after="160"/>
      </w:pPr>
      <w:r>
        <w:t>3. 表 1 中的症状学变量是</w:t>
      </w:r>
      <w:r>
        <w:rPr>
          <w:b/>
        </w:rPr>
        <w:t>从入院记录文本检索得到的"记录率"</w:t>
      </w:r>
      <w:r>
        <w:t>，非核验后的患病率，表注已声明；若有更规范的适应证记录可替换。</w:t>
      </w:r>
    </w:p>
    <w:p>
      <w:pPr>
        <w:pStyle w:val="Heading1"/>
      </w:pPr>
      <w:r>
        <w:t>六、字数与投稿建议</w:t>
      </w:r>
    </w:p>
    <w:p>
      <w:pPr>
        <w:spacing w:after="160"/>
      </w:pPr>
      <w:r>
        <w:t>正文 5,714 词（不含摘要、参考文献、表、图注）。Pediatric Radiology 原著限 3,000 词，若仍投该刊需删减约 2,700 词；建议优先移入 Online Resource 的段落：</w:t>
      </w:r>
    </w:p>
    <w:p>
      <w:pPr>
        <w:spacing w:after="160"/>
      </w:pPr>
      <w:r>
        <w:t>• Results 中"The three modalities were used in different children"整段（→ 表 1 脚注 + 一句话）</w:t>
      </w:r>
    </w:p>
    <w:p>
      <w:pPr>
        <w:spacing w:after="160"/>
      </w:pPr>
      <w:r>
        <w:t>• Results 中"Age, and the populations this cohort does not describe"（→ Online Resource 2）</w:t>
      </w:r>
    </w:p>
    <w:p>
      <w:pPr>
        <w:spacing w:after="160"/>
      </w:pPr>
      <w:r>
        <w:t>• Discussion 第 4 段（CT/UGI 内容审计的讨论，→ Online Resource 3）</w:t>
      </w:r>
    </w:p>
    <w:p>
      <w:pPr>
        <w:spacing w:after="160"/>
      </w:pPr>
      <w:r>
        <w:t>• Limitations 由 7 段压缩为 3 段</w:t>
      </w:r>
    </w:p>
    <w:p>
      <w:pPr>
        <w:spacing w:after="160"/>
      </w:pPr>
      <w:r>
        <w:t>若改投其他期刊（如 European Radiology、Insights into Imaging、J Pediatr Surg、Eur J Radiol），现有篇幅基本适配，建议按目标刊调整参考文献格式。就本稿目前的立意（报告质量审计 + 可纠正机制），</w:t>
      </w:r>
      <w:r>
        <w:rPr>
          <w:b/>
        </w:rPr>
        <w:t>Insights into Imaging 或 European Radiology 的"quality/audit"取向可能比 Pediatric Radiology 原著更契合</w:t>
      </w:r>
      <w:r>
        <w:t>；若坚持投 Pediatric Radiology，本稿已按其三位评审的意见逐条改造，重投时应附本回复信。</w:t>
      </w:r>
    </w:p>
    <w:p>
      <w:pPr>
        <w:pStyle w:val="Heading1"/>
      </w:pPr>
      <w:r>
        <w:t>七、交付文件清单</w:t>
      </w:r>
    </w:p>
    <w:p>
      <w:pPr>
        <w:spacing w:after="160"/>
      </w:pPr>
      <w:r>
        <w:t>• `诊断效能_英文稿_修回版_v3.docx` —— 全面重写的正文（6 表 + 4 图内嵌）</w:t>
      </w:r>
    </w:p>
    <w:p>
      <w:pPr>
        <w:spacing w:after="160"/>
      </w:pPr>
      <w:r>
        <w:t>• `Response_to_Editor_and_Reviewers.docx` —— 逐条回复（编辑 3 条 + 审稿人 1 共 5 条 + 审稿人 2 共 10+3 条 + 主动说明的改动）</w:t>
      </w:r>
    </w:p>
    <w:p>
      <w:pPr>
        <w:spacing w:after="160"/>
      </w:pPr>
      <w:r>
        <w:t>• `Online_Resource_1_NLP_and_report_audit.docx` —— 算法完整规则、验证细节、内容审计正则表</w:t>
      </w:r>
    </w:p>
    <w:p>
      <w:pPr>
        <w:spacing w:after="160"/>
      </w:pPr>
      <w:r>
        <w:t>• `Online_Resource_2_and_3_supplementary_tables.docx` —— 扭转/年龄分层、扭转特异征象、CT 与造影内容审计</w:t>
      </w:r>
    </w:p>
    <w:p>
      <w:pPr>
        <w:spacing w:after="160"/>
      </w:pPr>
      <w:r>
        <w:t>• `Figure1_flow.png` / `Figure2_paired.png` / `Figure3_detection.png` / `Figure4_us_audit.png` —— 重画与新增图</w:t>
      </w:r>
    </w:p>
    <w:p>
      <w:pPr>
        <w:spacing w:after="160"/>
      </w:pPr>
      <w:r>
        <w:t>• `analysis/` —— 全部再分析脚本与结果输出，可完整复现上述每一个数字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