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60"/>
      </w:pPr>
      <w:r>
        <w:t>Cover letter</w:t>
      </w:r>
    </w:p>
    <w:p>
      <w:pPr>
        <w:spacing w:after="160"/>
      </w:pPr>
      <w:r>
        <w:t>Jun Yang, MD</w:t>
      </w:r>
    </w:p>
    <w:p>
      <w:pPr>
        <w:spacing w:after="160"/>
      </w:pPr>
      <w:r>
        <w:t>Department of General Surgery, Wuhan Children's Hospital (Wuhan Maternal and Child Healthcare Hospital),</w:t>
      </w:r>
    </w:p>
    <w:p>
      <w:pPr>
        <w:spacing w:after="160"/>
      </w:pPr>
      <w:r>
        <w:t>Tongji Medical College, Huazhong University of Science and Technology, Wuhan 430016, Hubei, China</w:t>
      </w:r>
    </w:p>
    <w:p>
      <w:pPr>
        <w:spacing w:after="160"/>
      </w:pPr>
      <w:r>
        <w:t>Email: yjun201602@163.com  |  Telephone: +86 186 2713 9911  |  ORCID: 0009-0006-0669-4340</w:t>
      </w:r>
    </w:p>
    <w:p>
      <w:pPr>
        <w:spacing w:after="160"/>
      </w:pPr>
      <w:r>
        <w:t>5 September 2026</w:t>
      </w:r>
    </w:p>
    <w:p>
      <w:pPr>
        <w:spacing w:after="160"/>
      </w:pPr>
      <w:r>
        <w:t>The Editor-in-Chief</w:t>
      </w:r>
    </w:p>
    <w:p>
      <w:pPr>
        <w:spacing w:after="160"/>
      </w:pPr>
      <w:r>
        <w:rPr>
          <w:i/>
        </w:rPr>
        <w:t>Insights into Imaging</w:t>
      </w:r>
    </w:p>
    <w:p>
      <w:pPr>
        <w:spacing w:after="160"/>
      </w:pPr>
      <w:r>
        <w:t>Dear Editor,</w:t>
      </w:r>
    </w:p>
    <w:p>
      <w:pPr>
        <w:spacing w:after="160"/>
      </w:pPr>
      <w:r>
        <w:t xml:space="preserve">We are pleased to submit our Original Article, "Routine ultrasound reports for intestinal malrotation rarely document duodenal landmarks: an audit of 740 preoperative index examinations in 410 surgically confirmed children", for consideration by </w:t>
      </w:r>
      <w:r>
        <w:rPr>
          <w:i/>
        </w:rPr>
        <w:t>Insights into Imaging</w:t>
      </w:r>
      <w:r>
        <w:t>.</w:t>
      </w:r>
    </w:p>
    <w:p>
      <w:pPr>
        <w:spacing w:after="160"/>
      </w:pPr>
      <w:r>
        <w:t>Ultrasound is increasingly advocated as the first-line investigation for suspected intestinal malrotation, on the strength of studies reporting sensitivities of 93–97% when the third portion of the duodenum (D3), the duodenojejunal junction and the mesenteric vessels are assessed under a dedicated protocol. Those figures were obtained under favourable conditions, whereas clinical decisions rest on the routine report issued during unselected care. To our knowledge, no study has examined at scale what such reports contain.</w:t>
      </w:r>
    </w:p>
    <w:p>
      <w:pPr>
        <w:spacing w:after="160"/>
      </w:pPr>
      <w:r>
        <w:t xml:space="preserve">We audited 13.5 years of routine reports at a tertiary children's hospital: 740 preoperative index examinations in 410 children with surgically confirmed malrotation, coding each examination both for whether it named the diagnosis and for the technical elements it documented. </w:t>
      </w:r>
      <w:r>
        <w:rPr>
          <w:b/>
        </w:rPr>
        <w:t>Only three of 119 ultrasound examinations (2.5%) documented D3 or the duodenojejunal junction</w:t>
      </w:r>
      <w:r>
        <w:t>; the superior mesenteric artery–vein relationship was addressed in 10.1%, enteric fluid administration was recorded twice, and a whirlpool sign was reported in 48.7%. Detection followed that content closely: 6 of the 61 examinations without a reported whirlpool named the diagnosis, and a whirlpool was reported in only 58 of the 113 children in whom operation confirmed midgut volvulus. In routine practice, ultrasound for malrotation functioned as an incomplete test for midgut volvulus rather than as a test for the rotational anomaly itself.</w:t>
      </w:r>
    </w:p>
    <w:p>
      <w:pPr>
        <w:spacing w:after="160"/>
      </w:pPr>
      <w:r>
        <w:t>Ultrasound detection rose from 41% to 60% across the study period, and the change tracked how the examination was booked. Adjusting for a shift towards sessions that included an abdominal great-vessel study reduced the era effect from +19.0 to +8.2 percentage points, an interval that includes zero, while the booking indicator carried an odds ratio of 3.73. Booking category was not randomised and indication cannot be separated from technique in these data, so the analysis bounds the era contribution rather than removing it. The department's account is consistent: no change of equipment, staffing or protocol over the period, and growing awareness from about 2021 attached to the whirlpool sign rather than to duodenal anatomy, so that detection rose while duodenal documentation did not. The gap between published and delivered ultrasound performance therefore lies in technique and reporting, which an audit can measure.</w:t>
      </w:r>
    </w:p>
    <w:p>
      <w:pPr>
        <w:spacing w:after="160"/>
      </w:pPr>
      <w:r>
        <w:t xml:space="preserve">We believe this fits the scope of </w:t>
      </w:r>
      <w:r>
        <w:rPr>
          <w:i/>
        </w:rPr>
        <w:t>Insights into Imaging</w:t>
      </w:r>
      <w:r>
        <w:t xml:space="preserve"> because its contribution is to radiological practice rather than to diagnostic test evaluation. We are explicit about what the design cannot support: the cohort consists only of surgically confirmed cases, so the study estimates report-level detection and not sensitivity, and specificity, predictive values and any ranking of ultrasound, CT and the upper gastrointestinal series are neither estimable nor claimed. We have used the term "detection rate" throughout, followed STROBE rather than STARD, displayed the confounding by indication rather than adjusting it away, and stated in the Conclusion that these data should not be used to argue against ultrasound-first pathways. Our recommendation is that a department audit its own reports before assuming that the published figures apply locally, and that a structured malrotation ultrasound report offers a low-cost way to make such a deficit visible prospectively.</w:t>
      </w:r>
    </w:p>
    <w:p>
      <w:pPr>
        <w:spacing w:after="160"/>
      </w:pPr>
      <w:r>
        <w:t>The complete text-classification rule set, the report-content audit patterns, the between-modality models and the subgroup analyses are provided as three Online Resources, so that the method can be replicated wherever routine reports are stored electronically.</w:t>
      </w:r>
    </w:p>
    <w:p>
      <w:pPr>
        <w:spacing w:after="160"/>
      </w:pPr>
      <w:r>
        <w:t>The manuscript is original, is not under consideration elsewhere, and all authors have approved the submission and agree to be accountable for the work. The study was approved by the institutional review board with waiver of informed consent. The authors declare no competing interests. Funding, author contributions and the ethics approval number are given on the title page.</w:t>
      </w:r>
    </w:p>
    <w:p>
      <w:pPr>
        <w:spacing w:after="160"/>
      </w:pPr>
      <w:r>
        <w:t>Thank you for considering our work.</w:t>
      </w:r>
    </w:p>
    <w:p>
      <w:pPr>
        <w:spacing w:after="160"/>
      </w:pPr>
      <w:r>
        <w:t>Yours sincerely,</w:t>
      </w:r>
    </w:p>
    <w:p>
      <w:pPr>
        <w:spacing w:after="160"/>
      </w:pPr>
      <w:r>
        <w:t>Jun Yang, MD</w:t>
      </w:r>
    </w:p>
    <w:p>
      <w:pPr>
        <w:spacing w:after="160"/>
      </w:pPr>
      <w:r>
        <w:t>On behalf of all authors (Jun Shu, Guanghua Zhang, Fei Peng, Kai Zheng, Hongxi Guo, Haiyan Lei, Haibin Wang, Zhengliang Meng, Hongqiang Bian, Jun Yang)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ntentStatus/>
  <dc:identifier/>
  <dc:language/>
  <cp:version/>
</cp:coreProperties>
</file>