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2,998 (Introduction through Take-Home Points; excluding abstract, references, tables and figure legends). Abstract: 248 words.</w:t>
      </w:r>
    </w:p>
    <w:p>
      <w:pPr>
        <w:spacing w:after="160"/>
      </w:pPr>
      <w:r>
        <w:rPr>
          <w:b/>
        </w:rPr>
        <w:t>Tables:</w:t>
      </w:r>
      <w:r>
        <w:t xml:space="preserve"> 4  |  </w:t>
      </w:r>
      <w:r>
        <w:rPr>
          <w:b/>
        </w:rPr>
        <w:t>Figures:</w:t>
      </w:r>
      <w:r>
        <w:t xml:space="preserve"> 3  |  </w:t>
      </w:r>
      <w:r>
        <w:rPr>
          <w:b/>
        </w:rPr>
        <w:t>Supplemental material:</w:t>
      </w:r>
      <w:r>
        <w:t xml:space="preserve"> Supplements 1–4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 contributions (by ICMJE activity):</w:t>
      </w:r>
      <w:r>
        <w:t xml:space="preserve"> Conception and design: JS, JY. Acquisition of data: JS, FP, KZ and HL (clinical and operative data); HL (review of the anchor operation against all operative records); KZ (review of examination timing against the date of operation); ZM and JS (independent coding of ultrasound report content, as reader A and reader B);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