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2,998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was not retrievable, so confounding by indication is displayed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[24]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59 of the 112 children (52.7%) who underwent ultrasound and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no adjustment can undo.</w:t>
      </w:r>
    </w:p>
    <w:p>
      <w:pPr>
        <w:spacing w:after="160" w:line="480" w:lineRule="auto"/>
      </w:pPr>
      <w:r>
        <w:t>The low documentation may bear on departments adopting an ultrasound-first pathway on the basis of sensitivities of 93–97%, and on guidance weighing that evidence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which was recorded in 59 of the 112 ultrasound-examined children with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