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t>Highlights</w:t>
      </w:r>
    </w:p>
    <w:p>
      <w:pPr>
        <w:spacing w:after="160"/>
      </w:pPr>
      <w:r>
        <w:t>• Only 3 of 117 routine ultrasound reports recorded the duodenal landmarks</w:t>
      </w:r>
    </w:p>
    <w:p>
      <w:pPr>
        <w:spacing w:after="160"/>
      </w:pPr>
      <w:r>
        <w:t>• Positive ultrasound reports almost always described a whirlpool sign (59 of 64)</w:t>
      </w:r>
    </w:p>
    <w:p>
      <w:pPr>
        <w:spacing w:after="160"/>
      </w:pPr>
      <w:r>
        <w:t>• Ultrasound named the diagnosis in 54.7% of 117 surgically confirmed children</w:t>
      </w:r>
    </w:p>
    <w:p>
      <w:pPr>
        <w:spacing w:after="160"/>
      </w:pPr>
      <w:r>
        <w:t>• These are report-level detection rates in confirmed cases, not sensitivities</w:t>
      </w:r>
    </w:p>
    <w:p>
      <w:pPr>
        <w:spacing w:after="160"/>
      </w:pPr>
      <w:r>
        <w:t>• Documentation can be audited without a reference standard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i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2026-10-15T14:50:53Z</dcterms:created>
  <dcterms:modified xsi:type="dcterms:W3CDTF">2026-10-15T14:50:53Z</dcterms:modified>
  <cp:category/>
  <cp:contentStatus/>
  <dc:identifier/>
  <dc:language/>
  <cp:version/>
</cp:coreProperties>
</file>