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2,994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towards great-vessel sessions reduced the difference from +19.0 to +8.2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Only half the children with confirmed volvulus had a whirlpool sign recorded.</w:t>
      </w:r>
    </w:p>
    <w:p>
      <w:pPr>
        <w:spacing w:after="160"/>
      </w:pPr>
      <w:r>
        <w:t>• Detection rose as much with examination type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single-centre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penalised estimate of the separated contrast are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(7–85)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(8–35)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(5–27)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 (4–932)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302 (64.9)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216 (71.8)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222 (69.4)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93 (20.0)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 (15.0)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 (16.9)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(12.6)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 (29.1)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352 (75.7)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226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250 (78.1)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94 (79.0)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 (70.9)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(35.7)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96 (31.9)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105 (32.8)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80 (67.2)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(34.5)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403 (86.7)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268 (89.0)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(87.8)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(76.4)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441 (94.8)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288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308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50 (90.9)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219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(55.1)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165 (51.6)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183 (39.4)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 (39.5)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137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(47.9)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 (43.6)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(24.3)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88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 (26.9)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(20.0)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72 (15.5)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33 (11.0)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 (14.4)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(23.6)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221 (47.5)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152 (50.5)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148 (46.2)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53 (44.5)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 (38.2)</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(Online Resource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78.7 (73.8–83.0)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 (32.1)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 (35.0)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52.8 (47.3–58.2)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 (19.5)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 (43.8)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42/52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80.8 (68.1–89.2)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127/268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47.4 (41.5–53.4)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(n=80)</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62/116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10/12 (83%)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54/107 (50%)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63/117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Caecal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60/114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Colour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116 (97.5)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58/58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6/61 (10%)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(25.2)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12/30 (40%)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52/89 (58%)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(56.3)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18/52 (35%)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75 (63.0)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37/75 (49%)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57/107 (53%)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158/205 (77.1%)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79/96 (82.3%)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1.38 (0.75–2.56), p=0.304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69/105 (65.7%)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2.20 (1.36–3.58),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1.95 (1.19–3.22), p=0.009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4.21 (2.01–8.81),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+19.2 → +15.5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16/39 (41.0%)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48/80 (60.0%)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3.73 (1.67–8.33), p=0.001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