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1. Text-classification algorithm and report-content audit</w:t>
      </w:r>
    </w:p>
    <w:p>
      <w:pPr>
        <w:spacing w:after="160"/>
      </w:pPr>
      <w:r>
        <w:t>Supplement to: "Routine ultrasound reports for intestinal malrotation rarely document duodenal landmarks: an audit of 740 preoperative index examinations in 410 surgically confirmed children"</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five reports were changed to positive because a malrotation sign appeared in the findings section without being carried into the conclusion (Section G). The final outcome is therefore "positive under the study definition after adjudication", not "positive conclusion", and the two differ in those five reports.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cancelled as a negation; a hedged cue is read in the twelve characters before the term or, up to the next punctuation, after it. Reports with no matching clause were labelled negative. Technically non-diagnostic studies were not coded separately as indeterminate and were labelled by their stated conclusion.</w:t>
      </w:r>
    </w:p>
    <w:p>
      <w:pPr>
        <w:pStyle w:val="Heading1"/>
      </w:pPr>
      <w:r>
        <w:t>G. Validation and adjudication</w:t>
      </w:r>
    </w:p>
    <w:p>
      <w:pPr>
        <w:spacing w:after="160"/>
      </w:pPr>
      <w:r>
        <w:t>A paediatric surgeon blinded to the operative findings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all 740 index units).</w:t>
      </w:r>
      <w:r>
        <w:t xml:space="preserve"> Both earlier samples could only produce under-calls: one was small and the other was selected on suspected under-call. Every index unit was therefore screened in both directions —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w:t>
      </w:r>
    </w:p>
    <w:p>
      <w:pPr>
        <w:spacing w:after="160"/>
      </w:pPr>
      <w:r>
        <w:t>Three were over-calls and were corrected to negative: two CT units whose reports concern unrelated findings (a quadrate-lobe haemangioma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`label_corrections.csv` and applied to the analysis matrix by `core.py`;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2.4 days earlier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report whose wording is ambiguous in neither of those ways.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Online Resource)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The comparison is made by `classifier_agreement.py`, which applies the script to the pooled conclusion of each of the 740 index examination episodes — the same index unit the analysis uses — and compares the result with the final labels (the algorithmic labels after adjudication). The reference implementation agreed on 732 of 740 (98.9%): 298 of 301 (99.0%) for the UGI series, 316 of 320 (98.8%) for CT and 118 of 119 (99.2%) for ultrasound. All eight disagreements were reference-implementation under-calls; there was no over-call.</w:t>
      </w:r>
    </w:p>
    <w:p>
      <w:pPr>
        <w:spacing w:after="160"/>
      </w:pPr>
      <w:r>
        <w:t>These 8 disagreements are not the same set as the 10 corrections made by the adjudicator in Section G, and the two counts should not be equated. The 10 are the corrections made after human review; the 8 are the index units where the published code and the final label differ, across all 740. Only some of the 8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8 share the failure modes listed in Section G: the diagnosis stated in the findings section but not carried into the conclusion; a conclusion consisting only of a cross-reference to another report; and a diagnostic sign described morphologically without the diagnosis being named. That all 8 are under-calls shows that a conclusion-only rule set of this kind loses reports rather than inventing them,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eight units above, so tier counts differ by small numbers.</w:t>
      </w:r>
    </w:p>
    <w:p>
      <w:pPr>
        <w:pStyle w:val="Heading1"/>
      </w:pPr>
      <w:r>
        <w:t>G2. Cohort retrieval strings</w:t>
      </w:r>
    </w:p>
    <w:p>
      <w:pPr>
        <w:spacing w:after="160"/>
      </w:pPr>
      <w:r>
        <w:t>Children were retrieved from the institutional surgical records database by matching, case-insensitively, the operative diagnosis field (术中诊断) against `肠旋转不良` or the procedure-name field (手术名称) against `Ladd`. Applied to the 559 operative records of 499 children held for the study period, this returns 503 records in 465 children; every retrieved record was read before inclusion.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colour Doppler, caecal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Colour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Caecal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the whirlpool text variable agrees with the separately adjudicated whirlpool variable in 118 of the 119 ultrasound examinations; the single disagreement is a child whose whirlpool was documented on an ultrasound performed on a different day from the index episode.</w:t>
      </w:r>
    </w:p>
    <w:p>
      <w:pPr>
        <w:pStyle w:val="Heading1"/>
      </w:pPr>
      <w:r>
        <w:t>I. Distribution of labels by modality</w:t>
      </w:r>
    </w:p>
    <w:p>
      <w:pPr>
        <w:spacing w:after="160"/>
      </w:pPr>
      <w:r>
        <w:rPr>
          <w:b/>
        </w:rPr>
        <w:t>Table S2. Distribution of algorithmic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237 (78.7%)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 (21.3%)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169 (52.8%)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151 (47.2%)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 (53.8%)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55 (46.2%)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All three</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740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470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270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126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