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sz w:val="26"/>
        </w:rPr>
        <w:t>STROBE Statement — checklist of items that should be included in reports of cohort studies</w:t>
      </w:r>
    </w:p>
    <w:p>
      <w:pPr>
        <w:spacing w:after="160"/>
      </w:pPr>
      <w:r>
        <w:rPr>
          <w:sz w:val="20"/>
        </w:rPr>
        <w:t>Manuscript: "Routine ultrasound reports for intestinal malrotation rarely document duodenal landmarks: an audit of 740 preoperative index examinations in 410 surgically confirmed children"</w:t>
      </w:r>
    </w:p>
    <w:p>
      <w:pPr>
        <w:spacing w:after="160"/>
      </w:pPr>
      <w:r>
        <w:rPr>
          <w:i/>
          <w:sz w:val="19"/>
        </w:rPr>
        <w:t>The study is a retrospective, single-centre, case-only report audit and is reported according to STROBE for cohort studies. STARD is deliberately not claimed: the cohort contains no test-negative children, so the design does not meet the definition of a diagnostic accuracy study and specificity, predictive values and any ranking of the three modalities are not estimable. Locations are given by manuscript section rather than by page, since pagination changes with the journal's template.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408"/>
        <w:gridCol w:w="3408"/>
        <w:gridCol w:w="3408"/>
      </w:tblGrid>
      <w:tr>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Item</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Recommendation (STROBE, cohort studies)</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Reported in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Title and abstract 1(a)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Indicate the study's design with a commonly used term in the title or the abstract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Title ('audit'); Methods, 'Design, terminology and estimable quantities'; Abstract, Methods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Title and abstract 1(b)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Provide in the abstract an informative and balanced summary of what was done and what was found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Abstract (Objectives, Methods, Results, Conclusion); Key Points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 Background/rationale 2</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the scientific background and rationale for the investigation being reported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paragraphs 1–3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 Objectives 3</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State specific objectives, including any prespecified hypotheses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final paragraph; Abstract, Objectives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Study design 4</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Present key elements of study design early in the paper</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'Design, terminology and estimable quantities'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Setting 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the setting, locations, and relevant dates, including periods of recruitment, exposure, follow-up, and data collection</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'Participants, reference standard and index tests' (single tertiary children's hospital, December 2012–June 2026)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Participants 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the eligibility criteria, and the sources and methods of selection of participants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'Participants…' (consecutive children with an operative diagnosis of malrotation; institutional clinical and surgical records database)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Participants 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For matched studies, give matching criteria and number of exposed and unexposed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 (no matching)</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Variables 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Clearly define all outcomes, exposures, predictors, potential confounders, and effect modifiers. Give diagnostic criteria, if applicable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'Design, terminology…' (report-level detection defined); 'Participants…' (volvulus definition); 'Report-content audit and classification' (positivity criteria, content items); Online Resource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Data sources/measurement 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For each variable of interest, give sources of data and details of methods of assessment. Describe comparability of assessment methods if there is more than one group</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'Report-content audit and classification'; Online Resource 1, Sections A–J</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Bias 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any efforts to address potential sources of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'Design, terminology…' (three stated consequences of the case-only design); Discussion, paragraph on incorporation bias, pathway position and confounding by indication; Table 1 displays confounding by indication rather than adjusting it</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Study size 10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how the study size was arrived at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'Participants…' (all consecutive eligible children; no sample-size calculation)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Quantitative variables 11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how quantitative variables were handled in the analyses; if applicable, describe which groupings were chosen and why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(age category ≤28 days / 29 days–1 year / &gt;1 year; era 2012–2018 vs 2019–2026); certainty tiers in 'Report-content audit and classification'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all statistical methods, including those used to control for confounding</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(GEE with patient-level clustering; adjustment for era and age category)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any methods used to examine subgroups and interactions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(modality-by-volvulus interaction, non-estimable owing to complete separation; subgroup receiving all three modalities); Online Resource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how missing data were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(the 55 children without an index test characterised, not imputed); Discussion, Limitations (informative missingness)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If applicable, explain how loss to follow-up was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 (no follow-up; single preoperative index test per modality)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any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and 'Report-content audit and classification' (reclassification of possible-tier conclusions; paired analysis restricted to 48 h and 24 h); Online Resource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Participants 13(a)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numbers of individuals at each stage of study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Fig.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Participants 13(b)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reasons for non-participation at each stage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(the 55 children without an index test, with the imaging they did receive); Fig.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Participants 13(c)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Consider use of a flow diagram</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Fig.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Descriptive data 14(a)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characteristics of study participants and information on exposures and potential confounders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Table 1 (overall and by index test received)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Descriptive data 14(b)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Indicate number of participants with missing data for each variable of interest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Table 1 footnote; denominators shown with every rate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Descriptive data 14(c)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Summarise follow-up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Outcome data 15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numbers of outcome events or summary measures over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Table 2 (detection with denominators); Table 3 (ultrasound report content); Table 4 (change between eras)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Main results 16(a)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unadjusted estimates and, if applicable, confounder-adjusted estimates and their precision. Make clear which confounders were adjusted for and why they were included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'Detection and certainty of wording' (unadjusted and adjusted GEE odds ratios); Online Resource 2, Table S3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Main results 16(b)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category boundaries when continuous variables were categorized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Online Resource 2, Table S5</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Main results 16(c)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If relevant, consider translating estimates of relative risk into absolute risk for a meaningful time period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Detection rates are reported as absolute proportions with denominators throughout (Table 2, Figs 2–3)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Other analyses 17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other analyses done — eg analyses of subgroups and interactions, and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'Documented content of ultrasound examinations', 'Change in detection over time', 'Selected subgroup and populations not represented'; Online Resources 2 and 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Key results 18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Summarise key results with reference to study objectives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paragraphs 1–3; Conclusion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Limitations 19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 limitations of the study, taking into account sources of potential bias or imprecision. Discuss both direction and magnitude of any potential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'Limitations'; and the paragraph on incorporation bias, pathway position and confounding by indication, which states the direction of each</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Interpretation 20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a cautious overall interpretation of results considering objectives, limitations, multiplicity of analyses, results from similar studies, and other relevant evidence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paragraphs 2–5; Conclusion (explicit statement that no sensitivity, specificity or ranking is established)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Generalisability 21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 the generalisability (external validity) of the study results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'Selected subgroup and populations not represented'; Discussion, Limitations (single centre; skew toward severe neonatal disease)</w:t>
            </w:r>
          </w:p>
        </w:tc>
      </w:tr>
      <w:tr>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sz w:val="17"/>
              </w:rPr>
              <w:t>Other information — Funding 22</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sz w:val="17"/>
              </w:rPr>
              <w:t>Give the source of funding and the role of the funders for the present study and, if applicable, for the original study on which the present article is based</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sz w:val="17"/>
              </w:rPr>
              <w:t>Declarations, Funding (and title page)</w:t>
            </w:r>
          </w:p>
        </w:tc>
      </w:tr>
    </w:tbl>
    <w:p/>
    <w:p>
      <w:pPr>
        <w:spacing w:after="0"/>
      </w:pPr>
      <w:r>
        <w:rPr>
          <w:i/>
          <w:sz w:val="17"/>
        </w:rPr>
        <w:t>Note: An Explanation and Elaboration article discusses each checklist item and gives methodological background and published examples of transparent reporting. The STROBE checklist is best used in conjunction with that article, freely available on the STROBE website (https://www.strobe-statement.org).</w:t>
      </w:r>
    </w:p>
    <w:sectPr w:rsidR="00FC693F" w:rsidRPr="0006063C" w:rsidSect="00034616">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