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pStyle w:val="Heading1"/>
      </w:pPr>
      <w:r>
        <w:t>Abstract</w:t>
      </w:r>
    </w:p>
    <w:p>
      <w:pPr>
        <w:spacing w:after="160" w:line="480" w:lineRule="auto"/>
      </w:pPr>
      <w:r>
        <w:rPr>
          <w:b/>
        </w:rPr>
        <w:t>Objectives:</w:t>
      </w:r>
      <w:r>
        <w:t xml:space="preserve"> Ultrasound is increasingly advocated as the first-line test for suspected intestinal malrotation, based on reported sensitivities of 93–97%. We audited what routine reports documented and whether they named the diagnosis.</w:t>
      </w:r>
    </w:p>
    <w:p>
      <w:pPr>
        <w:spacing w:after="160" w:line="480" w:lineRule="auto"/>
      </w:pPr>
      <w:r>
        <w:rPr>
          <w:b/>
        </w:rPr>
        <w:t>Methods:</w:t>
      </w:r>
      <w:r>
        <w:t xml:space="preserve"> Retrospective case-only report audit at one tertiary children's hospital (December 2012–June 2026). The preoperative examination closest to operation was classified by a rule-based algorithm with blinded surgical adjudication, and audited for documented technical content (ultrasound by two independent readers). As the cohort was surgically confirmed, the outcome was report-level detection among tested children, with Wilson 95% confidence intervals; specificity, predictive values and comparative accuracy are not estimable.</w:t>
      </w:r>
    </w:p>
    <w:p>
      <w:pPr>
        <w:spacing w:after="160" w:line="480" w:lineRule="auto"/>
      </w:pPr>
      <w:r>
        <w:rPr>
          <w:b/>
        </w:rPr>
        <w:t>Results:</w:t>
      </w:r>
      <w:r>
        <w:t xml:space="preserve"> Among 450 children (volvulus in 88.2%), 398 underwent at least one index test. Three of 117 ultrasound examinations (2.6%, 95% confidence interval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a positivity criterion, and in 5 of 58 without one. A whirlpool was recorded in 59 of the 112 ultrasound-examined children with operatively confirmed volvulus. Detection was 53.8% counting only conclusions naming malrotation, 25.6% excluding "possible" wording.</w:t>
      </w:r>
    </w:p>
    <w:p>
      <w:pPr>
        <w:spacing w:after="160" w:line="480" w:lineRule="auto"/>
      </w:pPr>
      <w:r>
        <w:rPr>
          <w:b/>
        </w:rPr>
        <w:t>Conclusions:</w:t>
      </w:r>
      <w:r>
        <w:t xml:space="preserve"> Positive routine ultrasound reports almost always described a whirlpool, and the duodenal landmarks to which published performance is attributed were rarely documented. Documentation, unlike accuracy, can be audited without a reference standard; we provide the criteria as a minimum reporting dataset.</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to bowel necrosis within hours [1] and lead to short-bowel syndrome or death [1,2]. Bilious vomiting in a neonate is a surgical emergency until malrotation with volvulus has been excluded, although older children may present atypically and be diagnosed late [3,4].</w:t>
      </w:r>
    </w:p>
    <w:p>
      <w:pPr>
        <w:spacing w:after="160" w:line="480" w:lineRule="auto"/>
      </w:pPr>
      <w:r>
        <w:t>The upper gastrointestinal (UGI) contrast series has long been the reference imaging test, based on the position of the duodenojejunal junction and the course of the proximal small bowel [5–7], despite well-described mimics [8]. Abdominal computed tomography (CT) is not a dedicated test, and the mesenteric swirl it may show is neither reliably present nor specific in children [9,10]. Practice has moved toward ultrasound: series report sensitivities of 93–97%, a systematic review of 17 studies and 2,257 children estimated a pooled sensitivity of 94% [11–13], and a single-center study of 539 children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[12,13,15–17]. The same literature describes these elements as demanding and not universally achievable, and D3 position alone as insufficient for diagnosis [18]. The 2020 American College of Radiology Appropriateness Criteria, which predate most of this evidence, rate ultrasound as "may be appropriate" and the UGI series as "usually appropriate" for bilious vomiting in infants older than 2 days [19].</w:t>
      </w:r>
    </w:p>
    <w:p>
      <w:pPr>
        <w:spacing w:after="160" w:line="480" w:lineRule="auto"/>
      </w:pPr>
      <w:r>
        <w:t>A report audit of the UGI series for malrotation found discrepancies on blinded re-reading and proposed a structured template [20]. To our knowledge, no study has examined at scale whether routine reports from a general pediatric ultrasound service document the elements to which this performance is attributed, or how documentation relates to whether the diagnosis is reported.</w:t>
      </w:r>
    </w:p>
    <w:p>
      <w:pPr>
        <w:spacing w:after="160" w:line="480" w:lineRule="auto"/>
      </w:pPr>
      <w:r>
        <w:t>We therefore audited 13.6 years of routine reports at a tertiary children's hospital. Because every child had surgically confirmed malrotation, the study measures how often the disease was reported and with what documented content, not the accuracy of the tests. The UGI series and CT are reported alongside ultrasound to show where ultrasound sat in the diagnostic pathway, not to rank them. The audit criteria are provided as a minimum reporting dataset (Supplement 4).</w:t>
      </w:r>
    </w:p>
    <w:p>
      <w:pPr>
        <w:pStyle w:val="Heading1"/>
      </w:pPr>
      <w:r>
        <w:t>Materials and Methods</w:t>
      </w:r>
    </w:p>
    <w:p>
      <w:pPr>
        <w:pStyle w:val="Heading2"/>
      </w:pPr>
      <w:r>
        <w:t>Design, terminology and estimable quantities</w:t>
      </w:r>
    </w:p>
    <w:p>
      <w:pPr>
        <w:spacing w:after="160" w:line="480" w:lineRule="auto"/>
      </w:pPr>
      <w:r>
        <w:t xml:space="preserve">This was a retrospective, single-center, case-only report audit. The institutional review board approved the study and waived informed consent because of the retrospective, de-identified design (details on the title page). Reporting follows the Strengthening the Reporting of Observational Studies in Epidemiology guideline [21]; the Standards for Reporting of Diagnostic Accuracy guideline was not used because this is not a diagnostic accuracy design. The cohort includes no children in whom malrotation was suspected and excluded. The outcome is the </w:t>
      </w:r>
      <w:r>
        <w:rPr>
          <w:b/>
        </w:rPr>
        <w:t>report-level detection rate among surgically confirmed children who underwent the test</w:t>
      </w:r>
      <w:r>
        <w:t>. We avoid the term "sensitivity" because the rate does not transfer to children investigated for suspicion. Specificity, predictive values and any accuracy-based ranking cannot be estimated. The whirlpool sign indicates volvulus rather than malrotation [22].</w:t>
      </w:r>
    </w:p>
    <w:p>
      <w:pPr>
        <w:pStyle w:val="Heading2"/>
      </w:pPr>
      <w:r>
        <w:t>Participants, reference standard and index tests</w:t>
      </w:r>
    </w:p>
    <w:p>
      <w:pPr>
        <w:spacing w:after="160" w:line="480" w:lineRule="auto"/>
      </w:pPr>
      <w:r>
        <w:t>The institutional clinical research database supplied the records of 711 children with a recorded diagnosis of intestinal malrotation between December 2012 and June 2026, including 559 operative records in 499 children. Every operative record was read, and operations with an operative diagnosis of intestinal malrotation or a recorded Ladd procedure were selected (search strings in Supplement 1), giving 503 records in 465 children. The anchor operation was each child's first such operation. One author, with the imaging labels visible, re-read all operative records for 34 children whose anchor operation was not named as a malrotation procedure or followed earlier malrotation surgery; 19 were retained and 15 excluded (6 in whom that operation did not confirm malrotation and 9 reoperations; Supplement 1). The remaining 450 consecutive children form the reference standard. Midgut volvulus was defined by an explicit operative statement of torsion or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series; contrast enemas were not counted. For each child and modality, the index examination was the examination episode closest to operation, pooling every report of that modality issued that day, as the department routinely issues separate gastrointestinal and great-vessel reports for one ultrasound session. Operative times were recorded as dates only, so the 154 same-day reports and the 27 index examinations more than 7 days before operation were reviewed individually; three issued after the operation or concerning an unrelated earlier illness were removed. This yielded 723 index examinations from 761 reports; 32 earlier repeat examinations were not audited (Figure 1). The clinical indication was not retrievable, so confounding by indication is shown in Table 1, not adjusted for.</w:t>
      </w:r>
    </w:p>
    <w:p>
      <w:pPr>
        <w:spacing w:after="160" w:line="480" w:lineRule="auto"/>
      </w:pPr>
      <w:r>
        <w:t>Ultrasound was reported by ultrasound physicians, and CT and the UGI series by radiologists, during routine care, unaware of the operative findings but not blinded to clinical history or previous imaging, and not by a designated reader group. Reports were free text, with no structured malrotation template in use. The department reported no change in ultrasound equipment, reporting staff or protocol during the study period.</w:t>
      </w:r>
    </w:p>
    <w:p>
      <w:pPr>
        <w:pStyle w:val="Heading2"/>
      </w:pPr>
      <w:r>
        <w:t>Report-content audit and classification</w:t>
      </w:r>
    </w:p>
    <w:p>
      <w:pPr>
        <w:spacing w:after="160" w:line="480" w:lineRule="auto"/>
      </w:pPr>
      <w:r>
        <w:t>Each ultrasound index examination was coded by two readers, an ultrasound physician and a pediatric surgeon, both authors who had reported none of the examinations, working independently from the findings and conclusion text against written criteria for twelve elements, from D3 and the duodenojejunal junction to the whirlpool sign and limiting bowel gas. Technique elements were counted as documented whether the finding was normal or abnormal; the whirlpool sign, a finding, only where described as present. Agreement was assessed with Cohen kappa and disagreements adjudicated. Booking category and bedside performance were taken from the examination name; CT and UGI landmarks were coded by text patterns (Supplement 1).</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and a conclusion may name volvulus without malrotation, detection was also computed counting only conclusions that named malrotation. Tentative phrasing is common, so the certainty tier of every positive conclusion was tabulated and the analyses repeated with "possible" tiers counted as negative.</w:t>
      </w:r>
    </w:p>
    <w:p>
      <w:pPr>
        <w:spacing w:after="160" w:line="480" w:lineRule="auto"/>
      </w:pPr>
      <w:r>
        <w:t>Report text was classified using a rule-based, clause-level algorithm [23] with explicit negation handling [24] (Supplement 1). A pediatric surgeon, one of the authors, blinded to the operative findings, adjudicated 32 reports. Agreement was 92% (Cohen kappa 0.83, 95% confidence interval [CI] 0.61–1.00) in a stratified random sample of 24; a targeted review of 8 suspected discordances found 5 further under-calls, excluded from the agreement statistics. A two-directional screen of every index examination then returned nine positives that no diagnostic term or sign pattern supported; source review confirmed three as over-calls. All errors were corrected. Because adjudication read the whole report, the final label is the algorithmic label after review, not the conclusion alone. With a single adjudicator, interobserver agreement on the detection label could not be estimated.</w:t>
      </w:r>
    </w:p>
    <w:p>
      <w:pPr>
        <w:pStyle w:val="Heading2"/>
      </w:pPr>
      <w:r>
        <w:t>Statistical analysis</w:t>
      </w:r>
    </w:p>
    <w:p>
      <w:pPr>
        <w:spacing w:after="160" w:line="480" w:lineRule="auto"/>
      </w:pPr>
      <w:r>
        <w:t>Detection rates are presented with denominators and Wilson 95% CIs. Between-modality comparison used a generalized estimating equation logistic model [25] with an exchangeable working correlation, patient-level clustering and cluster-robust standard errors, unadjusted and adjusted for era (2012–2018 vs 2019–2026) and age group (≤28 days, 29 days–1 year, &gt;1 year), with standardized detection and cluster-bootstrap CIs. Modalities a child did not undergo are unobserved outcomes, not missing at random here, so these coefficients describe reporting among children who underwent each test. A pre-specified modality-by-volvulus interaction was not estimable, no ultrasound examination being positive among the five children without volvulus; a Firth penalized estimate is given in Supplement 2 [26,27]. In the subgroup that underwent all three modalities, detection was compared using the Cochran Q test, the exact McNemar test and paired differences with bootstrap CIs (Supplement 2). The temporal change was explored, after inspection of the data, using modality-specific logistic models of detection on era before and after adding one covariate (booking category or contrast enhancement), reported as odds ratios and average marginal effects; the era boundary was varied from 2019 to 2022 and era-by-covariate interactions fitted. Sensitivity analyses varied the outcome definition, index examination, interval to operation and ultrasound denominator (Supplement 2). P values were not adjusted for multiplicity; Supplement 2 lists which analyses were pre-specified. Analyses used Python 3.11 (statsmodels 0.15, SciPy 1.17).</w:t>
      </w:r>
    </w:p>
    <w:p>
      <w:pPr>
        <w:pStyle w:val="Heading1"/>
      </w:pPr>
      <w:r>
        <w:t>Results</w:t>
      </w:r>
    </w:p>
    <w:p>
      <w:pPr>
        <w:pStyle w:val="Heading2"/>
      </w:pPr>
      <w:r>
        <w:t>Cohort and children without an index test</w:t>
      </w:r>
    </w:p>
    <w:p>
      <w:pPr>
        <w:spacing w:after="160" w:line="480" w:lineRule="auto"/>
      </w:pPr>
      <w:r>
        <w:t>Of 450 children with surgically confirmed malrotation, 300 (66.7%) were neonates and 397 (88.2%) had midgut volvulus (Table 1). An index examination was available in 293 children for the UGI series, 313 for CT and 117 for ultrasound; 398 underwent at least one and 59 all three. The remaining 52 (11.6%) underwent none of the three, but all had other preoperative imaging, documented before transfer in four (Table 1, Figure 1).</w:t>
      </w:r>
    </w:p>
    <w:p>
      <w:pPr>
        <w:spacing w:after="160" w:line="480" w:lineRule="auto"/>
      </w:pPr>
      <w:r>
        <w:t>The modality groups were not interchangeable (Table 1). Ultrasound was performed more often in children with volvulus, its use rising from 13% to 51% of operated children between eras. Among children who underwent more than one index test, the last preoperative test was the UGI series in 75.0% of those who received it, ultrasound in 36.8% (39/106) and CT in 19.2%. UGI detection was higher when it came last (80.0% [144/180] vs 70.0% [42/60] when it did not), which may reflect the pathway rather than the test.</w:t>
      </w:r>
    </w:p>
    <w:p>
      <w:pPr>
        <w:pStyle w:val="Heading2"/>
      </w:pPr>
      <w:r>
        <w:t>Detection and certainty of wording</w:t>
      </w:r>
    </w:p>
    <w:p>
      <w:pPr>
        <w:spacing w:after="160" w:line="480" w:lineRule="auto"/>
      </w:pPr>
      <w:r>
        <w:t>Detection was 230/293 (78.5%, 95% CI 73.4–82.8) for the UGI series, 165/313 (52.7%, 47.2–58.2) for CT and 64/117 (54.7%, 45.7–63.4) for ultrasound (Table 2, Figure 2). In a generalized estimating equation model adjusted for era and age group, CT and ultrasound were less often positive than the UGI series (odds ratios 0.29, 95% CI 0.20–0.41, and 0.27, 0.17–0.44; standardized differences −25.5, −32.2 to −18.8, and −26.4, −35.9 to −16.8 percentage points); the coefficients absorb indication, pathway position and examination content (Supplement 2). Reclassifying possible-tier conclusions as negative reduced detection to 50.2%, 32.9% and 25.6%, and the adjusted odds ratio for ultrasound against CT fell from 0.96 (0.64–1.45) to 0.62 (0.38–1.01); counting only conclusions that named malrotation gave 77.8%, 48.6% and 53.8% (Table 2). Restricting to examinations within 2 days of operation, or using the earliest or any preoperative examination, changed these results little (Supplement 2).</w:t>
      </w:r>
    </w:p>
    <w:p>
      <w:pPr>
        <w:pStyle w:val="Heading2"/>
      </w:pPr>
      <w:r>
        <w:t>Documented content of ultrasound examinations</w:t>
      </w:r>
    </w:p>
    <w:p>
      <w:pPr>
        <w:spacing w:after="160" w:line="480" w:lineRule="auto"/>
      </w:pPr>
      <w:r>
        <w:t>Of the 117 ultrasound index examinations, three (2.6%; 95% CI 0.9–7.3) documented D3 or the duodenojejunal junction (all three among the 112 booked as gastrointestinal or great-vessel studies) and seven (6.0%) mentioned the duodenum (Table 3, Figure 3). Three (2.6%) stated the mesenteric artery–vein relationship, and only one stated that the vessels were inverted, one of the two ultrasound positivity criteria. Enteric fluid was recorded twice and graded compression once; a whirlpool was reported in 59 examinations (50.4%) and bowel gas limited 36 (30.8%). Reader agreement was 1,423 of 1,428 item codes in the 119 episodes read (kappa 0.80–1.00; Supplement 1).</w:t>
      </w:r>
    </w:p>
    <w:p>
      <w:pPr>
        <w:spacing w:after="160" w:line="480" w:lineRule="auto"/>
      </w:pPr>
      <w:r>
        <w:t>Of these three, only one (in 2022) followed D3 between the artery and the aorta and identified the duodenojejunal junction, as the published technique describes [16,17].</w:t>
      </w:r>
    </w:p>
    <w:p>
      <w:pPr>
        <w:spacing w:after="160" w:line="480" w:lineRule="auto"/>
      </w:pPr>
      <w:r>
        <w:t>The diagnosis was named in all 59 examinations recording a whirlpool and in 5 of the 58 without one (8.6%, 95% CI 3.7–18.6). This contrast is partly definitional because a whirlpool is itself a positivity criterion, although all 59 conclusions also named malrotation explicitly. A whirlpool was recorded in 59 of the 112 children (52.7%) who underwent ultrasound and had operatively confirmed midgut volvulus.</w:t>
      </w:r>
    </w:p>
    <w:p>
      <w:pPr>
        <w:pStyle w:val="Heading2"/>
      </w:pPr>
      <w:r>
        <w:t>Change in detection over time</w:t>
      </w:r>
    </w:p>
    <w:p>
      <w:pPr>
        <w:spacing w:after="160" w:line="480" w:lineRule="auto"/>
      </w:pPr>
      <w:r>
        <w:t>In this exploratory analysis, ultrasound detection was 42.1% (16/38) in 2012–2018 and 60.8% (48/79) in 2019–2026, a difference of +18.7 percentage points whose 95% CI (−0.2 to +37.7) includes zero; CT detection rose (odds ratio 2.27, 1.38–3.72), whereas the UGI estimate was imprecise (+5.1 percentage points, −4.7 to +15.0; Table 4). Sessions including a great-vessel study rose from 34.2% to 68.4%, and adding this booking indicator reduced the ultrasound difference to +8.4 (−10.6 to +29.2) percentage points (Supplement 2). Whirlpool reporting rose from 39.5% to 55.7%; D3 or the duodenojejunal junction was documented in one of 38 and two of 79 examinations, too few to show a trend.</w:t>
      </w:r>
    </w:p>
    <w:p>
      <w:pPr>
        <w:pStyle w:val="Heading2"/>
      </w:pPr>
      <w:r>
        <w:t>Selected subgroup and populations not represented</w:t>
      </w:r>
    </w:p>
    <w:p>
      <w:pPr>
        <w:spacing w:after="160" w:line="480" w:lineRule="auto"/>
      </w:pPr>
      <w:r>
        <w:t xml:space="preserve">Fifty-nine children underwent all three modalities. This subgroup, presumably selected by diagnostic uncertainty, was more severely affected than the other 339 imaged children (volvulus 96.6% vs 87.9%; neonates 83.1% vs 67.3%). The UGI series was positive in 76.3%, ultrasound in 52.5% and CT in 45.8% (Cochran Q test, </w:t>
      </w:r>
      <w:r>
        <w:rPr>
          <w:i/>
        </w:rPr>
        <w:t>P</w:t>
      </w:r>
      <w:r>
        <w:t xml:space="preserve"> &lt; .001; UGI series minus CT +30.5 percentage points, 95% CI +13.6 to +47.5; CT minus ultrasound −6.8, −20.3 to +8.5), with the same ordering when all three examinations fell within 48 h (Supplement 2). Only 5 of the 53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13.6 years, routine ultrasound reports for children with surgically confirmed intestinal malrotation rarely recorded the elements to which contemporary ultrasound accuracy is attributed: D3 or the duodenojejunal junction in three of 117 examinations, enteric fluid in two. What they did record was the whirlpool sign, present in about half of all examinations and of the children with operatively confirmed volvulus. Such low documentation might be expected with free-text reports and no structured template, as here. Positive reports almost always described a whirlpool (59 of 64).</w:t>
      </w:r>
    </w:p>
    <w:p>
      <w:pPr>
        <w:spacing w:after="160" w:line="480" w:lineRule="auto"/>
      </w:pPr>
      <w:r>
        <w:t>Malrotation or volvulus was named in 54.7% of the surgically confirmed children who underwent ultrasound. The 2025 multicenter series, which excluded non-diagnostic and equivocal examinations, reported sensitivities of 93–97% for malrotation and 97% for volvulus [13], and a meta-analysis found a pooled sensitivity of 94% [11], both in children investigated for suspicion. In a multi-institutional cohort, 25.7% of examinations for malrotation were non-diagnostic on the original report [28]. These figures are not interchangeable: ours is conditioned on confirmed disease and on the indications that selected these children, theirs on those exclusions, so the difference combines case mix, examination quality and technique in proportions this audit cannot separate. What the audit does show is that the elements to which published performance is attributed were almost never documented here: D3 [16,17], the most accurate sign for malrotation in the 2025 series [13]; the duodenojejunal junction [12,15]; and enteric fluid, which was associated with better performance in the meta-analysis [11].</w:t>
      </w:r>
    </w:p>
    <w:p>
      <w:pPr>
        <w:spacing w:after="160" w:line="480" w:lineRule="auto"/>
      </w:pPr>
      <w:r>
        <w:t>The temporal analysis is exploratory: the crude rise was imprecise, the booking indicator was chosen after inspecting the data, and booking may reflect clinical suspicion, which was not recorded and may itself relate to finding a whirlpool. Descriptively, whirlpool reporting rose, whereas too few examinations documented the landmarks to show a trend.</w:t>
      </w:r>
    </w:p>
    <w:p>
      <w:pPr>
        <w:spacing w:after="160" w:line="480" w:lineRule="auto"/>
      </w:pPr>
      <w:r>
        <w:t>Two features of the design make the between-modality differences uninterpretable as accuracy. The reference standard is not independent of the index tests: the surgeon presumably knew the preoperative imaging, and a positive UGI series (the last preoperative test in 75.0% of children who had it with another index test) may often have precipitated the operation that confirmed the diagnosis, an incorporation bias asymmetrical between tests. The modalities were also used in different children for different reasons (Table 1), which adjustment cannot correct.</w:t>
      </w:r>
    </w:p>
    <w:p>
      <w:pPr>
        <w:spacing w:after="160" w:line="480" w:lineRule="auto"/>
      </w:pPr>
      <w:r>
        <w:t>The low documentation may bear on departments adopting an ultrasound-first pathway based on sensitivities of 93–97%, and on revisions of the 2020 American College of Radiology guidance [19]: published performance may not apply where examinations differ from those that produced it. Unlike accuracy, documentation needs no reference standard and can be audited prospectively in every examination requested for suspected malrotation. Supplement 4 sets out the audited elements as a minimum reporting dataset, with this audit as the baseline for a second cycle. These data cannot estimate the negative predictive value of a routine report.</w:t>
      </w:r>
    </w:p>
    <w:p>
      <w:pPr>
        <w:pStyle w:val="Heading2"/>
      </w:pPr>
      <w:r>
        <w:t>Limitations</w:t>
      </w:r>
    </w:p>
    <w:p>
      <w:pPr>
        <w:spacing w:after="160" w:line="480" w:lineRule="auto"/>
      </w:pPr>
      <w:r>
        <w:t>This is not a diagnostic accuracy study, and detection among surgically confirmed children who underwent a test does not transfer to children investigated for suspicion [11,13,14]. The cohort comprises only children who reached an operation, is weighted toward severe neonatal disease, and provides little information on older children with intermittent symptoms, incidental or non-volvulus malrotation, or stable outpatients. The 52 children without an index test were excluded from the denominators (informative missingness), as were 9 whose operation followed earlier malrotation surgery. Excluding children whose operative record states a rotation below 360° changes prevalence from 88.2% to 84.0% without altering any conclusion (Supplement 2).</w:t>
      </w:r>
    </w:p>
    <w:p>
      <w:pPr>
        <w:spacing w:after="160" w:line="480" w:lineRule="auto"/>
      </w:pPr>
      <w:r>
        <w:t>Index tests were classified from report text, not blinded image review, so the study measures reported detection rather than achievable image-based accuracy; a finding seen but not recorded and an inadequate examination reported as normal cannot be distinguished, although the report is what clinicians act on. The certainty tiers were derived from the same text and, unlike the positive–negative label, were not separately adjudicated. Sex was taken as recorded in the medical record, and sex-specific differences in documentation were not examined. Radiation dose could not be captured. This is one audit cycle at one center, so whether the findings generalize, whether a structured report would raise documentation and whether documentation would raise detection are unknown.</w:t>
      </w:r>
    </w:p>
    <w:p>
      <w:pPr>
        <w:pStyle w:val="Heading1"/>
      </w:pPr>
      <w:r>
        <w:t>Conclusion</w:t>
      </w:r>
    </w:p>
    <w:p>
      <w:pPr>
        <w:spacing w:after="160" w:line="480" w:lineRule="auto"/>
      </w:pPr>
      <w:r>
        <w:t>In routine ultrasound reports for children with surgically confirmed intestinal malrotation, the duodenal landmarks to which published performance is attributed were rarely documented, and positive reports almost always described a whirlpool. These are report-level detection rates, not sensitivities, and they do not argue against ultrasound-first pathways. Documentation can be audited without a reference standard, and the audit criteria in Supplement 4 provide a minimum reporting dataset for re-audit.</w:t>
      </w:r>
    </w:p>
    <w:p>
      <w:pPr>
        <w:pStyle w:val="Heading1"/>
      </w:pPr>
      <w:r>
        <w:t>Supplemental Material</w:t>
      </w:r>
    </w:p>
    <w:p>
      <w:pPr>
        <w:spacing w:after="160" w:line="480" w:lineRule="auto"/>
      </w:pPr>
      <w:r>
        <w:rPr>
          <w:b/>
        </w:rPr>
        <w:t>Supplement 1.</w:t>
      </w:r>
      <w:r>
        <w:t xml:space="preserve"> Text-classification algorithm and report-content audit, including the review of the reference standard and examination timing and the agreement of the two ultrasound readers: full rule dictionary, negation and scope handling, priority rules, worked examples of misclassification, the per-modality distribution of positive, negative and tentative labels, and a runnable reference implementation of the rule set (</w:t>
      </w:r>
      <w:r>
        <w:rPr>
          <w:rFonts w:ascii="Courier New" w:hAnsi="Courier New"/>
        </w:rPr>
        <w:t>Supplement_1_classifier.py</w:t>
      </w:r>
      <w:r>
        <w:t>), which reproduces 99.0%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sensitivity analyses that vary the era boundary from 2019 to 2022, restrict midgut volvulus to a documented rotation of 360° or more, or take the earliest rather than the closest preoperative examination as the index examination; and standardized detection under four definitions of a positive report, the timing and choice of the index examination, and ultrasound content by booking category.</w:t>
      </w:r>
    </w:p>
    <w:p>
      <w:pPr>
        <w:spacing w:after="160" w:line="480" w:lineRule="auto"/>
      </w:pPr>
      <w:r>
        <w:rPr>
          <w:b/>
        </w:rPr>
        <w:t>Supplement 3.</w:t>
      </w:r>
      <w:r>
        <w:t xml:space="preserve"> Content audit of the 313 CT and 293 upper gastrointestinal series index examinations, with detection conditional on documented content.</w:t>
      </w:r>
    </w:p>
    <w:p>
      <w:pPr>
        <w:spacing w:after="160" w:line="480" w:lineRule="auto"/>
      </w:pPr>
      <w:r>
        <w:rPr>
          <w:b/>
        </w:rPr>
        <w:t>Supplement 4.</w:t>
      </w:r>
      <w:r>
        <w:t xml:space="preserve"> A minimum reporting dataset for ultrasound in suspected intestinal malrotation, with the documentation rates of this audit as the baseline, and how to re-audit against it without a reference standard.</w:t>
      </w:r>
    </w:p>
    <w:p>
      <w:pPr>
        <w:pStyle w:val="Heading1"/>
      </w:pPr>
      <w:r>
        <w:t>Declarations</w:t>
      </w:r>
    </w:p>
    <w:p>
      <w:pPr>
        <w:spacing w:after="160" w:line="480" w:lineRule="auto"/>
      </w:pPr>
      <w:r>
        <w:rPr>
          <w:b/>
        </w:rPr>
        <w:t>Competing interests:</w:t>
      </w:r>
      <w:r>
        <w:t xml:space="preserve"> The authors declare that they have no competing interests.</w:t>
      </w:r>
    </w:p>
    <w:p>
      <w:pPr>
        <w:spacing w:after="160" w:line="480" w:lineRule="auto"/>
      </w:pPr>
      <w:r>
        <w:rPr>
          <w:b/>
        </w:rPr>
        <w:t>Data availability:</w:t>
      </w:r>
      <w:r>
        <w:t xml:space="preserve"> The de-identified analysis dataset contains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on reasonable request and with the permission of the institutional review board.</w:t>
      </w:r>
    </w:p>
    <w:p>
      <w:pPr>
        <w:pStyle w:val="Heading1"/>
      </w:pPr>
      <w:r>
        <w:t>Declaration of generative AI and AI-assisted technologies in the manuscript preparation process</w:t>
      </w:r>
    </w:p>
    <w:p>
      <w:pPr>
        <w:spacing w:after="160" w:line="480" w:lineRule="auto"/>
      </w:pPr>
      <w:r>
        <w:t>During the preparation of this work the authors used Claude (Anthropic) to assist with drafting and language editing of the manuscript and with writing and checking the analysis code. After using this tool, the authors reviewed and edited the content as needed and take full responsibility for the content of the published article. No figure was created or altered with a generative AI tool; the figures were produced by analysis code from the study data.</w:t>
      </w:r>
    </w:p>
    <w:p>
      <w:pPr>
        <w:pStyle w:val="Heading1"/>
      </w:pPr>
      <w:r>
        <w:t>References</w:t>
      </w:r>
    </w:p>
    <w:p>
      <w:pPr>
        <w:spacing w:after="60" w:line="480" w:lineRule="auto"/>
      </w:pPr>
      <w:r>
        <w:rPr>
          <w:sz w:val="20"/>
        </w:rPr>
        <w:t>[1] M.B. Marine, B. Karmazyn, Imaging of malrotation in the neonate, Semin. Ultrasound CT MR 35 (2014) 555 – 570. https://doi.org/10.1053/j.sult.2014.08.004</w:t>
      </w:r>
    </w:p>
    <w:p>
      <w:pPr>
        <w:spacing w:after="60" w:line="480" w:lineRule="auto"/>
      </w:pPr>
      <w:r>
        <w:rPr>
          <w:sz w:val="20"/>
        </w:rPr>
        <w:t>[2] S.A. Martinez, S.C. Fligor, S. Tsikis, et al., IMPOWER: a national patient-generated registry for intestinal malrotation exploring diagnosis, treatment, and surgical outcomes, Orphanet J. Rare Dis. 18 (2023) 113. https://doi.org/10.1186/s13023-023-02722-5</w:t>
      </w:r>
    </w:p>
    <w:p>
      <w:pPr>
        <w:spacing w:after="60" w:line="480" w:lineRule="auto"/>
      </w:pPr>
      <w:r>
        <w:rPr>
          <w:sz w:val="20"/>
        </w:rPr>
        <w:t>[3] X. Yang, W. Wang, K. Wang, et al., Identification and treatment of intestinal malrotation with midgut volvulus in childhood: a multicenter retrospective study, Front. Pediatr. 12 (2024) 1390856. https://doi.org/10.3389/fped.2024.1390856</w:t>
      </w:r>
    </w:p>
    <w:p>
      <w:pPr>
        <w:spacing w:after="60" w:line="480" w:lineRule="auto"/>
      </w:pPr>
      <w:r>
        <w:rPr>
          <w:sz w:val="20"/>
        </w:rPr>
        <w:t>[4] H. Menghwani, R. Piplani, E. Yhoshu, B. Jagdish, B.S. Sree, Delayed presentation of malrotation: case series and literature review, J. Indian Assoc. Pediatr. Surg. 28 (2023) 271 – 277. https://doi.org/10.4103/jiaps.jiaps_2_23</w:t>
      </w:r>
    </w:p>
    <w:p>
      <w:pPr>
        <w:spacing w:after="60" w:line="480" w:lineRule="auto"/>
      </w:pPr>
      <w:r>
        <w:rPr>
          <w:sz w:val="20"/>
        </w:rPr>
        <w:t>[5] G. Mattioli, E. Gallo, M.C.Y. Wong, et al., Diagnostic accuracy of upper gastrointestinal series in children with suspected intestinal malrotation, Updates Surg. 76 (2024) 201 – 208. https://doi.org/10.1007/s13304-023-01559-8</w:t>
      </w:r>
    </w:p>
    <w:p>
      <w:pPr>
        <w:spacing w:after="60" w:line="480" w:lineRule="auto"/>
      </w:pPr>
      <w:r>
        <w:rPr>
          <w:sz w:val="20"/>
        </w:rPr>
        <w:t>[6] A.W. Sizemore, K.Z. Rabbani, A. Ladd, K.E. Applegate, Diagnostic performance of the upper gastrointestinal series in the evaluation of children with clinically suspected malrotation, Pediatr. Radiol. 38 (2008) 518 – 528. https://doi.org/10.1007/s00247-008-0762-8</w:t>
      </w:r>
    </w:p>
    <w:p>
      <w:pPr>
        <w:spacing w:after="60" w:line="480" w:lineRule="auto"/>
      </w:pPr>
      <w:r>
        <w:rPr>
          <w:sz w:val="20"/>
        </w:rPr>
        <w:t>[7] K.E. Applegate, J.M. Anderson, E.C. Klatte, Intestinal malrotation in children: a problem-solving approach to the upper gastrointestinal series, Radiographics 26 (2006) 1485 – 1500. https://doi.org/10.1148/rg.265055167</w:t>
      </w:r>
    </w:p>
    <w:p>
      <w:pPr>
        <w:spacing w:after="60" w:line="480" w:lineRule="auto"/>
      </w:pPr>
      <w:r>
        <w:rPr>
          <w:sz w:val="20"/>
        </w:rPr>
        <w:t>[8] A. Smitthimedhin, A. Suarez, R.L. Webb, H.J. Otero, Mimics of malrotation on pediatric upper gastrointestinal series: a pictorial review, Abdom. Radiol. (NY) 43 (2018) 2246 – 2254. https://doi.org/10.1007/s00261-018-1537-9</w:t>
      </w:r>
    </w:p>
    <w:p>
      <w:pPr>
        <w:spacing w:after="60" w:line="480" w:lineRule="auto"/>
      </w:pPr>
      <w:r>
        <w:rPr>
          <w:sz w:val="20"/>
        </w:rPr>
        <w:t>[9] G.A. Taylor, CT appearance of the duodenum and mesenteric vessels in children with normal and abnormal bowel rotation, Pediatr. Radiol. 41 (2011) 1378 – 1383. https://doi.org/10.1007/s00247-011-2118-z</w:t>
      </w:r>
    </w:p>
    <w:p>
      <w:pPr>
        <w:spacing w:after="60" w:line="480" w:lineRule="auto"/>
      </w:pPr>
      <w:r>
        <w:rPr>
          <w:sz w:val="20"/>
        </w:rPr>
        <w:t>[10] K.S. Sodhi, A. Bhatia, A.K. Saxena, K.L.N. Rao, P. Menon, N. Khandelwal, Anticlockwise swirl of mesenteric vessels: a normal CT appearance, retrospective analysis of 200 pediatric patients, Eur. J. Radiol. 83 (2014) 710 – 714. https://doi.org/10.1016/j.ejrad.2013.12.026</w:t>
      </w:r>
    </w:p>
    <w:p>
      <w:pPr>
        <w:spacing w:after="60" w:line="480" w:lineRule="auto"/>
      </w:pPr>
      <w:r>
        <w:rPr>
          <w:sz w:val="20"/>
        </w:rPr>
        <w:t>[11] H.N. Nguyen, M. Kulkarni, J. Jose, et al., Ultrasound for the diagnosis of malrotation and volvulus in children and adolescents: a systematic review and meta-analysis, Arch. Dis. Child. 106 (2021) 1171 – 1178. https://doi.org/10.1136/archdischild-2020-321082</w:t>
      </w:r>
    </w:p>
    <w:p>
      <w:pPr>
        <w:spacing w:after="60" w:line="480" w:lineRule="auto"/>
      </w:pPr>
      <w:r>
        <w:rPr>
          <w:sz w:val="20"/>
        </w:rPr>
        <w:t>[12] H.N. Nguyen, O.M. Navarro, D.A. Bloom, et al., Ultrasound for midgut malrotation and midgut volvulus: AJR expert panel narrative review, AJR Am. J. Roentgenol. 218 (2022) 931 – 939. https://doi.org/10.2214/AJR.21.27242</w:t>
      </w:r>
    </w:p>
    <w:p>
      <w:pPr>
        <w:spacing w:after="60" w:line="480" w:lineRule="auto"/>
      </w:pPr>
      <w:r>
        <w:rPr>
          <w:sz w:val="20"/>
        </w:rPr>
        <w:t>[13] H.N. Nguyen, A.M. El-Ali, D. Van Tassel, et al., Diagnostic performance of ultrasound for diagnosing midgut malrotation and volvulus in children: a multiinstitutional retrospective review, AJR Am. J. Roentgenol. 225 (2025) e2532660. https://doi.org/10.2214/AJR.25.32660</w:t>
      </w:r>
    </w:p>
    <w:p>
      <w:pPr>
        <w:spacing w:after="60" w:line="480" w:lineRule="auto"/>
      </w:pPr>
      <w:r>
        <w:rPr>
          <w:sz w:val="20"/>
        </w:rPr>
        <w:t>[14] V. Binu, C. Nicholson, T. Cundy, et al., Ultrasound imaging as the first line of investigation to diagnose intestinal malrotation in children: safety and efficacy, J. Pediatr. Surg. 56 (2021) 2224 – 2228. https://doi.org/10.1016/j.jpedsurg.2021.04.009</w:t>
      </w:r>
    </w:p>
    <w:p>
      <w:pPr>
        <w:spacing w:after="60" w:line="480" w:lineRule="auto"/>
      </w:pPr>
      <w:r>
        <w:rPr>
          <w:sz w:val="20"/>
        </w:rPr>
        <w:t>[15] F.K. McCurdie, R. Meshaka, G. Leung, J. Billington, T.A. Watson, Ultrasound for infantile midgut malrotation: techniques, pearls, and pitfalls, Pediatr. Radiol. 54 (2024) 2099 – 2111. https://doi.org/10.1007/s00247-024-06067-4</w:t>
      </w:r>
    </w:p>
    <w:p>
      <w:pPr>
        <w:spacing w:after="60" w:line="480" w:lineRule="auto"/>
      </w:pPr>
      <w:r>
        <w:rPr>
          <w:sz w:val="20"/>
        </w:rPr>
        <w:t>[16] R. Menten, R. Reding, V. Godding, D.I. Dumitriu, P. Clapuyt, Sonographic assessment of the retroperitoneal position of the third portion of the duodenum: an indicator of normal intestinal rotation, Pediatr. Radiol. 42 (2012) 941 – 945. https://doi.org/10.1007/s00247-012-2403-5</w:t>
      </w:r>
    </w:p>
    <w:p>
      <w:pPr>
        <w:spacing w:after="60" w:line="480" w:lineRule="auto"/>
      </w:pPr>
      <w:r>
        <w:rPr>
          <w:sz w:val="20"/>
        </w:rPr>
        <w:t>[17] I. Hennessey, R. John, R. Gent, D.W. Goh, Utility of sonographic assessment of the position of the third part of the duodenum using water instillation in intestinal malrotation: a single-center retrospective audit, Pediatr. Radiol. 44 (2014) 387 – 391. https://doi.org/10.1007/s00247-013-2839-2</w:t>
      </w:r>
    </w:p>
    <w:p>
      <w:pPr>
        <w:spacing w:after="60" w:line="480" w:lineRule="auto"/>
      </w:pPr>
      <w:r>
        <w:rPr>
          <w:sz w:val="20"/>
        </w:rPr>
        <w:t>[18] B. Karmazyn, M.D. Cohen, Based on the position of the third portion of the duodenum at sonography, it is not possible to confidently diagnose malrotation, Pediatr. Radiol. 45 (2015) 138 – 139. https://doi.org/10.1007/s00247-014-3068-z</w:t>
      </w:r>
    </w:p>
    <w:p>
      <w:pPr>
        <w:spacing w:after="60" w:line="480" w:lineRule="auto"/>
      </w:pPr>
      <w:r>
        <w:rPr>
          <w:sz w:val="20"/>
        </w:rPr>
        <w:t>[19] Expert Panel on Pediatric Imaging, A.L. Alazraki, C.K. Rigsby, R.S. Iyer, et al., ACR Appropriateness Criteria® Vomiting in Infants, J. Am. Coll. Radiol. 17 (2020) S505 – S515. https://doi.org/10.1016/j.jacr.2020.09.002</w:t>
      </w:r>
    </w:p>
    <w:p>
      <w:pPr>
        <w:spacing w:after="60" w:line="480" w:lineRule="auto"/>
      </w:pPr>
      <w:r>
        <w:rPr>
          <w:sz w:val="20"/>
        </w:rPr>
        <w:t>[20] L.N. Keenan, T. Sewchuran, Audit of upper gastrointestinal tract series examinations for diagnosing intestinal malrotation in a resource-limited radiology department in Southern Africa, Surg. Pract. Sci. 14 (2023) 100183. https://doi.org/10.1016/j.sipas.2023.100183</w:t>
      </w:r>
    </w:p>
    <w:p>
      <w:pPr>
        <w:spacing w:after="60" w:line="480" w:lineRule="auto"/>
      </w:pPr>
      <w:r>
        <w:rPr>
          <w:sz w:val="20"/>
        </w:rPr>
        <w:t>[21] E. von Elm, D.G. Altman, M. Egger, et al., The Strengthening the Reporting of Observational Studies in Epidemiology (STROBE) statement: guidelines for reporting observational studies, Ann. Intern. Med. 147 (2007) 573 – 577. https://doi.org/10.7326/0003-4819-147-8-200710160-00010</w:t>
      </w:r>
    </w:p>
    <w:p>
      <w:pPr>
        <w:spacing w:after="60" w:line="480" w:lineRule="auto"/>
      </w:pPr>
      <w:r>
        <w:rPr>
          <w:sz w:val="20"/>
        </w:rPr>
        <w:t>[22] Y. Shimanuki, T. Aihara, H. Takano, et al., Clockwise whirlpool sign at color Doppler US: an objective and definite sign of midgut volvulus, Radiology 199 (1996) 261 – 264. https://doi.org/10.1148/radiology.199.1.8633156</w:t>
      </w:r>
    </w:p>
    <w:p>
      <w:pPr>
        <w:spacing w:after="60" w:line="480" w:lineRule="auto"/>
      </w:pPr>
      <w:r>
        <w:rPr>
          <w:sz w:val="20"/>
        </w:rPr>
        <w:t>[23] P. López-Úbeda, T. Martín-Noguerol, K. Juluru, A. Luna, Natural language processing in radiology: update on clinical applications, J. Am. Coll. Radiol. 19 (2022) 1271 – 1285. https://doi.org/10.1016/j.jacr.2022.06.016</w:t>
      </w:r>
    </w:p>
    <w:p>
      <w:pPr>
        <w:spacing w:after="60" w:line="480" w:lineRule="auto"/>
      </w:pPr>
      <w:r>
        <w:rPr>
          <w:sz w:val="20"/>
        </w:rPr>
        <w:t>[24] W.W. Chapman, W. Bridewell, P. Hanbury, G.F. Cooper, B.G. Buchanan, A simple algorithm for identifying negated findings and diseases in discharge summaries, J. Biomed. Inform. 34 (2001) 301 – 310. https://doi.org/10.1006/jbin.2001.1029</w:t>
      </w:r>
    </w:p>
    <w:p>
      <w:pPr>
        <w:spacing w:after="60" w:line="480" w:lineRule="auto"/>
      </w:pPr>
      <w:r>
        <w:rPr>
          <w:sz w:val="20"/>
        </w:rPr>
        <w:t>[25] S.L. Zeger, K.Y. Liang, Longitudinal data analysis for discrete and continuous outcomes, Biometrics 42 (1986) 121 – 130. https://doi.org/10.2307/2531248</w:t>
      </w:r>
    </w:p>
    <w:p>
      <w:pPr>
        <w:spacing w:after="60" w:line="480" w:lineRule="auto"/>
      </w:pPr>
      <w:r>
        <w:rPr>
          <w:sz w:val="20"/>
        </w:rPr>
        <w:t>[26] D. Firth, Bias reduction of maximum likelihood estimates, Biometrika 80 (1993) 27 – 38. https://doi.org/10.1093/biomet/80.1.27</w:t>
      </w:r>
    </w:p>
    <w:p>
      <w:pPr>
        <w:spacing w:after="60" w:line="480" w:lineRule="auto"/>
      </w:pPr>
      <w:r>
        <w:rPr>
          <w:sz w:val="20"/>
        </w:rPr>
        <w:t>[27] G. Heinze, M. Schemper, A solution to the problem of separation in logistic regression, Stat. Med. 21 (2002) 2409 – 2419. https://doi.org/10.1002/sim.1047</w:t>
      </w:r>
    </w:p>
    <w:p>
      <w:pPr>
        <w:spacing w:after="60" w:line="480" w:lineRule="auto"/>
      </w:pPr>
      <w:r>
        <w:rPr>
          <w:sz w:val="20"/>
        </w:rPr>
        <w:t>[28] A.M. El-Ali, D.M. Schiess, D. Van Tassel, et al., Ultrasound for midgut volvulus and malrotation: frequency and predictors of a non-diagnostic examination in a multi-institutional cohort, Pediatr. Radiol. 55 (2025) 925 – 935. https://doi.org/10.1007/s00247-024-06141-x</w:t>
      </w:r>
    </w:p>
    <w:p>
      <w:r>
        <w:br w:type="page"/>
      </w:r>
    </w:p>
    <w:p>
      <w:pPr>
        <w:pStyle w:val="Heading1"/>
      </w:pPr>
      <w:r>
        <w:t>Figure Legends</w:t>
      </w:r>
    </w:p>
    <w:p>
      <w:pPr>
        <w:spacing w:after="160" w:line="480" w:lineRule="auto"/>
      </w:pPr>
      <w:r>
        <w:rPr>
          <w:b/>
        </w:rPr>
        <w:t>Figure 1. Study flow and the imaging received by children without an index test.</w:t>
      </w:r>
      <w:r>
        <w:t xml:space="preserve"> Flow of 711 children in the clinical research database through selection of 503 operative records in 465 children, exclusions after review of the anchor operation, availability of each preoperative index test, and reduction of 793 eligible preoperative reports to 723 index examination episodes. All 52 children who received none of the three index examinations had other preoperative imaging (documented before transfer in four); the breakdown is shown at right. CT, computed tomography; UGI, upper gastrointestinal.</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 CI, confidence interval; CT, computed tomography; UGI, upper gastrointestinal.</w:t>
      </w:r>
    </w:p>
    <w:p>
      <w:pPr>
        <w:spacing w:after="160" w:line="480" w:lineRule="auto"/>
      </w:pPr>
      <w:r>
        <w:rPr>
          <w:b/>
        </w:rPr>
        <w:t>Figure 3. Ultrasound examination content and detection conditional on that content.</w:t>
      </w:r>
      <w:r>
        <w:t xml:space="preserve"> A, Documented content of the 117 ultrasound index examinations, as coded by two independent readers. B, Report-level detection conditional on the two most often documented elements in panel A and on whether the session included a great-vessel study. Three examinations documented the third portion of the duodenum or the duodenojejunal junction. Detection when a whirlpool sign was reported is partly definitional, the sign being one of the positivity criteria; the informative contrast is the 5 of 58 examinations that named the diagnosis without one.</w:t>
      </w:r>
    </w:p>
    <w:p>
      <w:r>
        <w:br w:type="page"/>
      </w:r>
    </w:p>
    <w:p>
      <w:pPr>
        <w:keepNext/>
        <w:spacing w:after="160"/>
      </w:pPr>
      <w:r>
        <w:rPr>
          <w:b/>
        </w:rPr>
        <w:t>Table 1. Characteristics of the 450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(7–32)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(6–44)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(5–24)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(3–692)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300 (66.7)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(73.0)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90 (76.9)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 (44.2)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(19.1)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41 (14.0)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 (16.6)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(11.1)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 (28.8)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342 (76.0)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247 (78.9)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 (78.6)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(71.2)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154 (34.2)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 (30.4)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98 (31.3)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 (32.7)</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 (88.2)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263 (89.8)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279 (89.1)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(80.8)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427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281 (95.9)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(90.4)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(47.6)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 (55.6)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 (51.4)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 (49.6)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178 (39.6)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 (39.9)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134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 (42.3)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110 (24.4)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(20.8)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 (26.5)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66 (14.7)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(10.2)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(13.7)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 (8.5)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(21.2)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Gastrointestinal symptoms for 1 month or longer,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(8.4)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 (6.5)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 (6.7)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(17.3)</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 (7.7)</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Sex is as recorded in the medical record. Presenting features were extracted from admission records by text search and are documentation rates, not verified prevalences. Symptom duration is the longest duration of a gastrointestinal symptom stated in the chief complaint of the operative admission; a child whose chief complaint stated none was counted as not having symptoms for 1 month or longer. The rightmost column shows the 52 children who received none of the three index tests; all of them nonetheless had other preoperative imaging (Figure 1). CT, computed tomography;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170"/>
        <w:gridCol w:w="1170"/>
        <w:gridCol w:w="1170"/>
        <w:gridCol w:w="1170"/>
        <w:gridCol w:w="1170"/>
        <w:gridCol w:w="1170"/>
        <w:gridCol w:w="1170"/>
        <w:gridCol w:w="1170"/>
      </w:tblGrid>
      <w:tr>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Positive/total</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Probable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Possible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excluding possible wording,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counting only conclusions naming malrotation, % (95% CI)</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78.5 (73.4–82.8)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 (32.2)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(31.7)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 (36.1)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77.8 (72.7–82.2)</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(all)</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(47.2–58.2)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(44.2)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 (37.6)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32.9</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48.6 (43.1–54.1)</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54.7 (45.7–63.4)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 (28.1)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 (53.1)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(44.8–62.6)</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  CT, contrast-enhanced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80.0 (67.0–88.8)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  CT, unenhanced</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125/263</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47.5 (41.6–53.6)</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penultimate column repeats the detection rate after reclassifying all possible-tier conclusions as negative; the last counts as detected only positive examinations whose conclusion named malrotation, so that a conclusion naming volvulus alone or describing a sign alone does not count.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 CI, confidence interval; CT, computed tomography; UGI, upper gastrointestinal.</w:t>
      </w:r>
    </w:p>
    <w:p>
      <w:r>
        <w:br w:type="page"/>
      </w:r>
    </w:p>
    <w:p>
      <w:pPr>
        <w:keepNext/>
        <w:spacing w:after="160"/>
      </w:pPr>
      <w:r>
        <w:rPr>
          <w:b/>
        </w:rPr>
        <w:t>Table 3. Documented content of the 117 routine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117</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2012–2018, n (of 38)</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2019–2026, n (of 79)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62/114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61/110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63/115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63/113 (56%)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59/59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5/58 (9%)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15/36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49/81 (60%)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 (57.3)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18/50 (36%)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(62.4)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37/73 (51%)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57/105 (54%)</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 (7.7)</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63/108 (58%)</w:t>
            </w:r>
          </w:p>
        </w:tc>
      </w:tr>
    </w:tbl>
    <w:p>
      <w:pPr>
        <w:spacing w:after="160"/>
      </w:pPr>
      <w:r>
        <w:rPr>
          <w:i/>
          <w:sz w:val="17"/>
        </w:rPr>
        <w:t>The index examination is the examination episode closest to operation, pooling all reports of that modality issued that day. Content was coded from the findings and conclusion text by two readers, an ultrasound physician and a pediatric surgeon, both authors who had reported none of the examinations, working independently against written criteria; 5 of 1,428 item codes differed and were adjudicated against the criteria (Supplement 1, Section K). This is an audit of what was recorded and is a lower bound on what was performed: an element assessed but not documented cannot be distinguished from one never assessed. Technique elements count as documented whether the finding was normal or abnormal; the artery–vein relationship counts only where the position of the two vessels relative to each other was stated, and the whirlpool sign only where it was described as present. Enteric fluid administration counts only examinations stating that fluid was given (oral contrast or nasogastric instillation); observed luminal fluid without a stated route was not counted. Booking categories were coded from the examination name and are not mutually exclusive: 28 sessions were booked as both gastrointestinal and great-vessel studies, 4 as gastrointestinal and pyloric, and 3 as great-vessel and pyloric. Denominators of fewer than 10 are shown without a percentage.</w:t>
      </w:r>
    </w:p>
    <w:p>
      <w:r>
        <w:br w:type="page"/>
      </w:r>
    </w:p>
    <w:p>
      <w:pPr>
        <w:keepNext/>
        <w:spacing w:after="160"/>
      </w:pPr>
      <w:r>
        <w:rPr>
          <w:b/>
        </w:rPr>
        <w:t>Table 4. Change in report-level detection between eras, before and after adding one covariate per modality (exploratory)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the covariate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Covariate added,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157/204 (77.0%)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73/89 (82.0%)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1.37 (0.73–2.57), </w:t>
            </w:r>
            <w:r>
              <w:rPr>
                <w:rFonts w:ascii="Times New Roman" w:hAnsi="Times New Roman"/>
                <w:i/>
                <w:sz w:val="17"/>
              </w:rPr>
              <w:t>P</w:t>
            </w:r>
            <w:r>
              <w:rPr>
                <w:rFonts w:ascii="Times New Roman" w:hAnsi="Times New Roman"/>
                <w:i w:val="0"/>
                <w:sz w:val="17"/>
              </w:rPr>
              <w:t xml:space="preserve"> = .333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None fitted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 (−4.7 to +15.0)</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65/98 (66.3%)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2.27 (1.38–3.72), </w:t>
            </w:r>
            <w:r>
              <w:rPr>
                <w:rFonts w:ascii="Times New Roman" w:hAnsi="Times New Roman"/>
                <w:i/>
                <w:sz w:val="17"/>
              </w:rPr>
              <w:t>P</w:t>
            </w:r>
            <w:r>
              <w:rPr>
                <w:rFonts w:ascii="Times New Roman" w:hAnsi="Times New Roman"/>
                <w:i w:val="0"/>
                <w:sz w:val="17"/>
              </w:rPr>
              <w:t xml:space="preserve"> =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2.02 (1.21–3.37), </w:t>
            </w:r>
            <w:r>
              <w:rPr>
                <w:rFonts w:ascii="Times New Roman" w:hAnsi="Times New Roman"/>
                <w:i/>
                <w:sz w:val="17"/>
              </w:rPr>
              <w:t>P</w:t>
            </w:r>
            <w:r>
              <w:rPr>
                <w:rFonts w:ascii="Times New Roman" w:hAnsi="Times New Roman"/>
                <w:i w:val="0"/>
                <w:sz w:val="17"/>
              </w:rPr>
              <w:t xml:space="preserve"> = .007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Intravenous contrast enhancement 3.98 (1.90–8.37),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 → +16.4 (+4.3 to +27.3)</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16/38 (42.1%)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48/79 (60.8%)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Session included a great-vessel study 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+18.7 (−0.2 to +37.7) → +8.4 (−10.6 to +29.2)</w:t>
            </w:r>
          </w:p>
        </w:tc>
      </w:tr>
    </w:tbl>
    <w:p>
      <w:pPr>
        <w:spacing w:after="160"/>
      </w:pPr>
      <w:r>
        <w:rPr>
          <w:i/>
          <w:sz w:val="17"/>
        </w:rPr>
        <w:t>Modality-specific logistic models; exploratory, the covariates having been chosen after inspection of the data. For ultrasound the covariate is whether the examination session included an abdominal great-vessel study; this is a booking label, not a record of technique. For CT it is intravenous contrast enhancement. No covariate was fitted for the UGI series. Odds ratios and average marginal effects are both shown because a conditional odds ratio attenuates when a predictive covariate is added even in the absence of mediation (non-collapsibility), so the marginal effect is the more interpretable measure of how far the era difference changes when the covariate is added. The covariates were not randomized and are themselves confounded by indication: a child suspected of volvulus is both more likely to be booked for a great-vessel study and more likely to have a whirlpool to find. These models are descriptive, not causal. Sensitivity analyses moving the era boundary from 2019 to 2022 are in Supplement 2. Marginal-effect intervals are percentile bootstrap intervals (2,000 resamples of children). CI, confidence interval; CT, computed tomography; UGI, upper gastrointestinal.</w:t>
      </w:r>
    </w:p>
    <w:sectPr w:rsidR="00FC693F" w:rsidRPr="0006063C" w:rsidSect="00034616">
      <w:footerReference w:type="default" r:id="rId9"/>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2026-10-15T15:46:48Z</dcterms:created>
  <dcterms:modified xsi:type="dcterms:W3CDTF">2026-10-15T15:46:48Z</dcterms:modified>
  <cp:category/>
  <cp:contentStatus/>
  <dc:identifier/>
  <dc:language/>
  <cp:version/>
</cp:coreProperties>
</file>