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Cover Letter</w:t>
      </w:r>
    </w:p>
    <w:p>
      <w:pPr>
        <w:spacing w:after="160"/>
      </w:pPr>
      <w:r>
        <w:t>Jun Yang, MD</w:t>
      </w:r>
    </w:p>
    <w:p>
      <w:pPr>
        <w:spacing w:after="160"/>
      </w:pPr>
      <w:r>
        <w:t>Department of General Surgery, Wuhan Children's Hospital (Wuhan Maternal and Child Healthcare Hospital),</w:t>
      </w:r>
    </w:p>
    <w:p>
      <w:pPr>
        <w:spacing w:after="160"/>
      </w:pPr>
      <w:r>
        <w:t>Tongji Medical College, Huazhong University of Science and Technology, Wuhan 430016, Hubei, China</w:t>
      </w:r>
    </w:p>
    <w:p>
      <w:pPr>
        <w:spacing w:after="160"/>
      </w:pPr>
      <w:r>
        <w:t>Email: yjun201602@163.com  |  Telephone: +86 186 2713 9911  |  ORCID: 0009-0006-0669-4340</w:t>
      </w:r>
    </w:p>
    <w:p>
      <w:pPr>
        <w:spacing w:after="160"/>
      </w:pPr>
      <w:r>
        <w:t>October 8, 2026</w:t>
      </w:r>
    </w:p>
    <w:p>
      <w:pPr>
        <w:spacing w:after="160"/>
      </w:pPr>
      <w:r>
        <w:t>The Editor-in-Chief</w:t>
      </w:r>
    </w:p>
    <w:p>
      <w:pPr>
        <w:spacing w:after="160"/>
      </w:pPr>
      <w:r>
        <w:rPr>
          <w:i/>
        </w:rPr>
        <w:t>Journal of the American College of Radiology</w:t>
      </w:r>
    </w:p>
    <w:p>
      <w:pPr>
        <w:spacing w:after="160"/>
      </w:pPr>
      <w:r>
        <w:t>Dear Editor,</w:t>
      </w:r>
    </w:p>
    <w:p>
      <w:pPr>
        <w:spacing w:after="160"/>
      </w:pPr>
      <w:r>
        <w:t xml:space="preserve">We are pleased to submit our Original Article, "Routine Ultrasound Reports for Pediatric Intestinal Malrotation Rarely Document Duodenal Landmarks: A Single-Center Audit," for consideration by the </w:t>
      </w:r>
      <w:r>
        <w:rPr>
          <w:i/>
        </w:rPr>
        <w:t>Journal of the American College of Radiology</w:t>
      </w:r>
      <w:r>
        <w:t>.</w:t>
      </w:r>
    </w:p>
    <w:p>
      <w:pPr>
        <w:spacing w:after="160"/>
      </w:pPr>
      <w:r>
        <w:t xml:space="preserve">Ultrasound-first pathways for suspected intestinal malrotation are being adopted on the strength of studies reporting sensitivities of 93–97%, a performance attributed to assessment of the third portion of the duodenum (D3), the duodenojejunal junction and the mesenteric vessels. Whether routine reports document those elements, and how this relates to whether the diagnosis is reported, has not, to our knowledge, been examined at scale. This is a question of clinical practice management, namely the content and quality of routine radiology reports, rather than of the intrinsic accuracy of a modality, which is why we are submitting it to </w:t>
      </w:r>
      <w:r>
        <w:rPr>
          <w:i/>
        </w:rPr>
        <w:t>JACR</w:t>
      </w:r>
      <w:r>
        <w:t>.</w:t>
      </w:r>
    </w:p>
    <w:p>
      <w:pPr>
        <w:spacing w:after="160"/>
      </w:pPr>
      <w:r>
        <w:t xml:space="preserve">We audited 13.6 years of routine reports at a tertiary children's hospital: 723 preoperative index examinations in 398 children with surgically confirmed malrotation, coding each examination both for whether it named the diagnosis and for the technical elements it documented, the ultrasound elements independently by an ultrasound physician and a pediatric surgeon. </w:t>
      </w:r>
      <w:r>
        <w:rPr>
          <w:b/>
        </w:rPr>
        <w:t>Only three of 117 ultrasound examinations (2.6%) documented D3 or the duodenojejunal junction</w:t>
      </w:r>
      <w:r>
        <w:t>; the superior mesenteric artery–vein relationship was stated in three, enteric fluid administration was recorded twice, and a whirlpool sign was reported in 50.4%. Detection followed that content closely: 5 of the 58 examinations without a reported whirlpool named the diagnosis, and a whirlpool was reported in only 59 of the 112 children in whom operation confirmed midgut volvulus. In routine practice, a positive ultrasound report rested almost entirely on the whirlpool sign, a sign of volvulus.</w:t>
      </w:r>
    </w:p>
    <w:p>
      <w:pPr>
        <w:spacing w:after="160"/>
      </w:pPr>
      <w:r>
        <w:t>Duodenal landmarks were documented no more often in the later years of the study, while whirlpool reporting rose. An exploratory analysis of the change in ultrasound detection over time is reported as such: the difference between eras was imprecise and its association with how examinations were booked cannot be separated from the indication for the test.</w:t>
      </w:r>
    </w:p>
    <w:p>
      <w:pPr>
        <w:spacing w:after="160"/>
      </w:pPr>
      <w:r>
        <w:t>For radiology departments the implication is practical. Before assuming that published performance applies locally, a department can audit whether its own reports document the duodenal landmarks, and a structured malrotation ultrasound report requiring explicit statements on D3, the duodenojejunal junction and study adequacy would make such a deficit visible prospectively. The audit method, a transparent rule-based classification of free-text reports with negation handling and blinded adjudication, is provided in full with a runnable implementation, so that it can be applied wherever reports are stored electronically.</w:t>
      </w:r>
    </w:p>
    <w:p>
      <w:pPr>
        <w:spacing w:after="160"/>
      </w:pPr>
      <w:r>
        <w:t>We are explicit about what the design cannot support. The cohort consists only of surgically confirmed cases, so the study estimates report-level detection and not sensitivity; specificity, predictive values and any ranking of ultrasound, CT and the upper gastrointestinal series are neither estimable nor claimed. We have used the term "detection rate" throughout, followed STROBE rather than STARD (checklist enclosed), displayed the confounding by indication rather than adjusting it away, and stated that these data are no argument against ultrasound-first pathways.</w:t>
      </w:r>
    </w:p>
    <w:p>
      <w:pPr>
        <w:spacing w:after="160"/>
      </w:pPr>
      <w:r>
        <w:t>The manuscript is original, is not under consideration elsewhere, and all seven authors have approved the submission and agree to be accountable for the work. The study was approved by the institutional review board with waiver of informed consent. The authors declare no competing interests, and the study received no specific funding. The use of a generative AI tool in preparing the manuscript is declared in the manuscript. The main manuscript file is masked; author details, funding, author contributions and the ethics approval number are given on the separate title page.</w:t>
      </w:r>
    </w:p>
    <w:p>
      <w:pPr>
        <w:spacing w:after="160"/>
      </w:pPr>
      <w:r>
        <w:t>Thank you for considering our work.</w:t>
      </w:r>
    </w:p>
    <w:p>
      <w:pPr>
        <w:spacing w:after="160"/>
      </w:pPr>
      <w:r>
        <w:t>Sincerely,</w:t>
      </w:r>
    </w:p>
    <w:p>
      <w:pPr>
        <w:spacing w:after="160"/>
      </w:pPr>
      <w:r>
        <w:t>Jun Yang, MD</w:t>
      </w:r>
    </w:p>
    <w:p>
      <w:pPr>
        <w:spacing w:after="160"/>
      </w:pPr>
      <w:r>
        <w:t>On behalf of all authors (Jun Shu, Fei Peng, Kai Zheng, Haiyan Lei, Zhengliang Meng, Hongqiang Bian, Jun Yang)</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dc:identifier/>
  <dc:language/>
  <cp:version/>
</cp:coreProperties>
</file>