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2,984 (Introduction through Take-Home Points; excluding abstract, references, tables and figure legends); Tables: 4; Figures: 3; Supplemental material: Supplements 1–3</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itself a positivity criterion, and in 5 of 58 without one. A whirlpool was recorded in 59 of 112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Whether documenting them would close the gap cannot be tested from reports, but their absence can be audited.</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line="480" w:lineRule="auto"/>
      </w:pPr>
      <w:r>
        <w:t>The 2025 multicenter series measured performance from the original clinical reports, after excluding non-diagnostic and equivocal examinations [13].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The whirlpool sign is a sign of volvulus rather than of malrotation [20].</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All operative records were re-read for 34 children whose anchor operation was not named as a malrotation procedure or followed earlier malrotation surgery, and 15 were excluded: 6 in whom that operation did not confirm malrotation and 9 reoperations after earlier malrotation surgery.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line="480" w:lineRule="auto"/>
      </w:pPr>
      <w:r>
        <w:t>Each ultrasound index examination was coded by two readers, an ultrasound physician and a pediatric surgeon,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[21] (rules, label distribution and worked misclassification examples in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Modalities a child did not undergo are unobserved outcomes, not missing at random here, so these coefficients describe reporting among children who underwent each test. A pre-specified modality-by-volvulus interaction was not estimable in the three-modality model, as no ultrasound examination was positive among the five children without volvulus; the estimable UGI-versus-CT interaction and a Firth penalized estimate of the separated contrast are given in Supplement 2 [23, 24].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Attenuation was not interpreted as mediation. P values were not adjusted for multiplicity, and Supplement 2 lists which analyses were pre-specified and which were decided after inspection of the data.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detection was higher in that position (80.0% [144/180] vs 70.0% [42/60] for the UGI series),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remained less often positive than the UGI series; the coefficients absorb indication, pathway position and examination content and are given in Supplement 2. Reclassifying possible-tier conclusions as negative reduced detection to 50.2%, 32.9% and 25.6%; counting only conclusions that named malrotation gave 77.8%, 48.6% and 53.8%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In 2018 the horizontal duodenum was described passing anterior to the superior mesenteric artery after oral contrast; in 2022 it was followed between the artery and the aorta with the duodenojejunal junction identified, the only examination resembling the published technique [16, 17]; in 2024 it could not be filled and further imaging was advised.</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its odds ratio of 3.51 (1.56–7.87) lay between 3.21 and 4.04 at every era boundary from 2019 to 2022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 xml:space="preserve">Fifty-nine children underwent all three modalities. This subgroup, in whom the diagnosis remained uncertain,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a pattern unchanged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In this setting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[25]),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 Whether documenting them would have raised detection cannot be tested, as documentation is a lower bound on what was done.</w:t>
      </w:r>
    </w:p>
    <w:p>
      <w:pPr>
        <w:spacing w:after="160" w:line="480" w:lineRule="auto"/>
      </w:pPr>
      <w:r>
        <w:t>The temporal analysis is exploratory. The crude rise in ultrasound detection was itself imprecise, the booking indicator was chosen after inspection of the data, and the earlier era contributed only 38 examinations. Adding the indicator roughly halved the estimated rise, but booking was not randomized: a child suspected of volvulus is both more likely to be booked for a vessel study and more likely to have a whirlpool, so indication and technique cannot be separated. The consistent observation is descriptive: duodenal landmarks were documented no more often in the later era, while whirlpool reporting rose.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the last preoperative test in 75.0% of children who had it with another index test, may often have precipitated the operation that confirmed the diagnosis, an incorporation bias asymmetrical between tests. Pathway position therefore also differed. The modalities were also used in different children for different reasons (Table 1), which no adjustment can undo.</w:t>
      </w:r>
    </w:p>
    <w:p>
      <w:pPr>
        <w:spacing w:after="160" w:line="480" w:lineRule="auto"/>
      </w:pPr>
      <w:r>
        <w:t>Departments adopting an ultrasound-first pathway on the basis of sensitivities of 93–97% should first establish that their examinations resemble those that produced them. Here the duodenal landmarks remained largely undocumented throughout the study period. A structured report requiring explicit statements on D3, the duodenojejunal junction and study adequacy would make this gap auditable. These data cannot estimate the negative predictive value of a routine report, but a department whose reports lack these elements should not assume that published values apply to its own.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and whether the deficit at this center generalizes is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w:t>
      </w:r>
    </w:p>
    <w:p>
      <w:pPr>
        <w:spacing w:after="160" w:line="480" w:lineRule="auto"/>
      </w:pPr>
      <w:r>
        <w:rPr>
          <w:b/>
        </w:rPr>
        <w:t>Supplement 3.</w:t>
      </w:r>
      <w:r>
        <w:t xml:space="preserve"> Content audit of the 313 CT and 293 upper gastrointestinal series index examinations, with detection conditional on documented content.</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22.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23. Firth D. Bias reduction of maximum likelihood estimates. </w:t>
      </w:r>
      <w:r>
        <w:rPr>
          <w:i/>
          <w:sz w:val="20"/>
        </w:rPr>
        <w:t>Biometrika</w:t>
      </w:r>
      <w:r>
        <w:rPr>
          <w:sz w:val="20"/>
        </w:rPr>
        <w:t>. 1993;80:27-38. doi:10.1093/biomet/80.1.27</w:t>
      </w:r>
    </w:p>
    <w:p>
      <w:pPr>
        <w:spacing w:after="60" w:line="480" w:lineRule="auto"/>
      </w:pPr>
      <w:r>
        <w:rPr>
          <w:sz w:val="20"/>
        </w:rPr>
        <w:t xml:space="preserve">24.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25.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Symptoms described as repeated, intermittent or lasting months,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212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146 (49.8)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144 (46.0)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(44.4)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(36.5)</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"repeated" also captures vomiting repeated over hours or days, so that row is not a measure of chronic presentation.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