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1. Text-classification algorithm and report-content audit</w:t>
      </w:r>
    </w:p>
    <w:p>
      <w:pPr>
        <w:spacing w:after="160"/>
      </w:pPr>
      <w:r>
        <w:t>Supplement to: "Routine Ultrasound Reports for Pediatric Intestinal Malrotation Rarely Document Duodenal Landmarks: A Single-Center Audit"</w:t>
      </w:r>
    </w:p>
    <w:p>
      <w:pPr>
        <w:spacing w:after="160"/>
      </w:pPr>
      <w:r>
        <w:t>Sections A–F specify the classification rules. Section J reports a reference implementation of those rules as a runnable script, together with its agreement with the final adjudicated labels, so that the specification below can be executed rather than only read. Section K describes the manual review of the reference standard, of examination timing and of ultrasound report content.</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(for ultrasound, manually by two readers; Section K). The two operations are independent: content coding never influenced the positive/negative label, and vice versa. Labels were subsequently adjudicated by a blinded pediatric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so a sign described only in the findings, or a finding described morphologically without the diagnosis being named, could make a report positive (Section G). The final outcome is therefore "positive under the study definition after adjudication", not "positive conclusion", and the two differ in the seven index units listed in Section J.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canceled as a negation; a hedged cue is read in the twelve characters before the term or, up to the next punctuation, after it. Reports with no matching clause were labeled negative. Technically non-diagnostic studies were not coded separately as indeterminate and were labeled by their stated conclusion.</w:t>
      </w:r>
    </w:p>
    <w:p>
      <w:pPr>
        <w:pStyle w:val="Heading1"/>
      </w:pPr>
      <w:r>
        <w:t>G. Validation and adjudication</w:t>
      </w:r>
    </w:p>
    <w:p>
      <w:pPr>
        <w:spacing w:after="160"/>
      </w:pPr>
      <w:r>
        <w:t>A pediatric surgeon blinded to the operative findings, one of the authors,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(95% CI 0.61–1.00, asymptotic standard error, truncated at 1); per-modality agreement 88% (UGI), 88% (CT) and 100% (ultrasound). These are the only figures used to characterize algorithm performance.</w:t>
      </w:r>
    </w:p>
    <w:p>
      <w:pPr>
        <w:spacing w:after="160"/>
      </w:pPr>
      <w:r>
        <w:rPr>
          <w:b/>
        </w:rPr>
        <w:t>Sample 2 (targeted).</w:t>
      </w:r>
      <w:r>
        <w:t xml:space="preserve"> The 8 reports whose conclusion or findings contained a malrotation, whirlpool or volvulus term while the machine label was negative. Five were confirmed as machine under-calls and corrected; all five named malrotation in the conclusion in tentative or hedged-exclusion wording ("cannot be excluded", "recommend further study to exclude", "may be considered").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every index unit).</w:t>
      </w:r>
      <w:r>
        <w:t xml:space="preserve"> Both earlier samples could only produce under-calls: one was small and the other was selected on suspected under-call. Every index unit was therefore screened in both directions —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 The screen was run on the 740 index units held before the review in Section K; none of the nine belongs to a child or report that review removed.</w:t>
      </w:r>
    </w:p>
    <w:p>
      <w:pPr>
        <w:spacing w:after="160"/>
      </w:pPr>
      <w:r>
        <w:t>Three were over-calls and were corrected to negative: two CT units whose reports concern unrelated findings (a quadrate-lobe hemangioma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`label_corrections.csv` and applied to the analysis matrix by `core.py`;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0.8 days earlier (2.4 days before operation)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report whose wording is ambiguous in neither of those ways.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Supplement)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The comparison is made by `classifier_agreement.py`, which applies the script to the pooled conclusion of each of the 723 index examination episodes — the same index unit the analysis uses — and compares the result with the final labels (the algorithmic labels after adjudication). The reference implementation agreed on 716 of 723 (99.0%): 291 of 293 (99.3%) for the UGI series, 309 of 313 (98.7%) for CT and 116 of 117 (99.1%) for ultrasound. All seven disagreements were reference-implementation under-calls; there was no over-call.</w:t>
      </w:r>
    </w:p>
    <w:p>
      <w:pPr>
        <w:spacing w:after="160"/>
      </w:pPr>
      <w:r>
        <w:t>These 7 disagreements are not the same set as the 10 corrections made by the adjudicator in Section G, and the two counts should not be equated. The 10 are the corrections made after human review; the 7 are the index units where the published code and the final label differ, across all 723. Only some of the 7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7 share the failure modes listed in Section G: the diagnosis stated in the findings section but not carried into the conclusion; a conclusion consisting only of a cross-reference to another report; and a diagnostic sign described morphologically without the diagnosis being named; in one ultrasound unit the label reflects an earlier examination (Section G). That all 7 are under-calls shows that a conclusion-only rule set of this kind loses reports rather than inventing them,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 units above, so tier counts differ by small numbers.</w:t>
      </w:r>
    </w:p>
    <w:p>
      <w:pPr>
        <w:pStyle w:val="Heading1"/>
      </w:pPr>
      <w:r>
        <w:t>G2. Cohort retrieval strings</w:t>
      </w:r>
    </w:p>
    <w:p>
      <w:pPr>
        <w:spacing w:after="160"/>
      </w:pPr>
      <w:r>
        <w:t>Children were retrieved from the institutional clinical research database by matching, case-insensitively, the operative diagnosis field (术中诊断) against `肠旋转不良` or the procedure-name field (手术名称) against `Ladd`. The institutional clinical research database held 711 children with a recorded diagnosis of intestinal malrotation for the study period, 499 of whom had 559 operative records. Applied to those records, this returns 503 records in 465 children; every retrieved record was read before inclusion, and review of the anchor operation then excluded 15 children (Section K1), leaving 484 records in 450 children.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For CT and the upper gastrointestinal series it used the patterns below. For ultrasound the patterns were applied first and then replaced by the two-reader manual coding of Section K, because checking them against the reports showed that the vessel pattern also counted mentions of the vessels that did not address their relationship; the ultrasound rows are retained for comparison, and Table S2 gives their agreement with the manual coding. Examination type and bedside performance are taken from the examination name for all modalities.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color Doppler, cecal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Regular expression (source text)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(D3)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十二指肠水平部|十二指肠水平段|十二指肠横部|十二指肠第三段|(?&lt;![弓])横部|水平部</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十二指肠空肠曲|屈氏|Treitz|十二指肠悬韧带|十二指肠[-—与和]?空肠交界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vessel inversion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(?:静脉|动脉)[^。；\n]{0,10}(?:换位|反位|倒置|关系异常|异常关系)|静脉位于[^。；\n]{0,8}左|动脉位于[^。；\n]{0,8}右</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 swirl / spiral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漩涡|旋涡|涡流|螺旋; counted only where no negation (未见|未探及|未显示|未发现|无明显|不明显|未闻) occurs in the 12 characters preceding the match within the same clause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administered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饮水|口服[^。；\n]{0,6}(?:水|液|造影剂)|注水|注入|胃内注|温开水|经胃管</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动态|实时观察|连续观察</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加压|探头压|压迫探查</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CDFI|彩色多普勒|多普勒</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clause containing both (肠气|积气|气体干扰|气体遮挡|气体遮盖|气体较多|气强反射|充满气体) and (干扰|遮挡|遮盖|显示不清|显示欠清|探及?不满意|不满意)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回盲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Bedside examination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床旁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great-vessel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腹部大血管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胃肠道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增强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三维重建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空肠曲|屈氏|Treitz|悬韧带|十二指肠[-—与和]?空肠交界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弹簧|螺旋|绞索|盘曲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空肠.{0,10}(位于|居|偏)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全消化道 (in the examination name)</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contrast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for ultrasound the mention-level patterns agreed with the manual coding in 117 of 117 examinations for D3, the duodenojejunal junction and enteric fluid, but in only 108 for the artery–vein relationship, 111 for limiting bowel gas and 114 for the whirlpool (Table S2), which is why the manual coding is used.</w:t>
      </w:r>
    </w:p>
    <w:p>
      <w:pPr>
        <w:pStyle w:val="Heading1"/>
      </w:pPr>
      <w:r>
        <w:t>K. Manual review of the reference standard, examination timing and ultrasound content</w:t>
      </w:r>
    </w:p>
    <w:p>
      <w:pPr>
        <w:spacing w:after="160"/>
      </w:pPr>
      <w:r>
        <w:t>Before submission, three steps of the audit were checked by hand on worksheets generated from the data (`build_review_checklists.py`). The decisions were merged into the analysis by `review_merge.py`, which records them in `review_exclusions.csv` and `us_manual_coding.csv`; `core.py` and `usaudit4.py` apply them and assert that every change they cause is accounted for.</w:t>
      </w:r>
    </w:p>
    <w:p>
      <w:pPr>
        <w:spacing w:after="160"/>
      </w:pPr>
      <w:r>
        <w:rPr>
          <w:b/>
        </w:rPr>
        <w:t>K1 Reference standard.</w:t>
      </w:r>
      <w:r>
        <w:t xml:space="preserve"> The anchor operation was reviewed against all of the child's operative records in 34 children: 30 whose procedure name contained no Ladd, derotation or malrotation term and 4 whose anchor operation, a Ladd procedure or derotation, followed earlier malrotation surgery. Each was judged on one question, whether malrotation was confirmed at that operation. It was in 19. In 6 malrotation was not confirmed at that operation (a qualified diagnosis, a previous diagnosis carried forward, or an endoscopic or biopsy procedure), and in 9 the anchor operation was a reoperation after earlier malrotation surgery, whose preoperative imaging showed postoperative anatomy rather than a first diagnosis. These 15 children were excluded from all analyses; 11 of them had an index test.</w:t>
      </w:r>
    </w:p>
    <w:p>
      <w:pPr>
        <w:spacing w:after="160"/>
      </w:pPr>
      <w:r>
        <w:rPr>
          <w:b/>
        </w:rPr>
        <w:t>K2 Examination timing.</w:t>
      </w:r>
      <w:r>
        <w:t xml:space="preserve"> Operative times are recorded as dates only, so an examination on the day of operation cannot be placed before or after it from the data. All 154 index reports issued on the day of operation, and the 27 index examinations more than 7 days before it, were reviewed individually. Three same-day reports were issued after the operation (one in a child excluded under K1), and one examination 374 days before operation belonged to an earlier, unrelated illness; these were removed. One same-day report could not be placed; it contained no text and was kept. In the cohort, removing the three reports made an earlier upper gastrointestinal series the index unit in one child (its conclusion names neither malrotation nor volvulus, so the label is unchanged), left one child with no preoperative ultrasound, who moves to the group without an index test, and left one child with CT as the only index test.</w:t>
      </w:r>
    </w:p>
    <w:p>
      <w:pPr>
        <w:spacing w:after="160"/>
      </w:pPr>
      <w:r>
        <w:rPr>
          <w:b/>
        </w:rPr>
        <w:t>K3 Ultrasound content.</w:t>
      </w:r>
      <w:r>
        <w:t xml:space="preserve"> Two readers, an ultrasound physician (reader A) and a pediatric surgeon (reader B), coded the 119 ultrasound index episodes independently, each from a worksheet showing the pooled findings and conclusion text without the examination date, the detection label or the pattern coding, and without seeing the other's coding. Each of the twelve items was coded present or absent from what the report states, not from what may have been done, against written criteria: technique elements count whether the finding was normal, abnormal or not visualized; the artery–vein relationship counts only where the position of the two vessels relative to each other is stated, not the calibre, course or flow of one vessel, and not a vein winding around the artery, which is coded as a whirlpool; the whirlpool counts only a positive description of a whirlpool or swirl, or of the superior mesenteric vein, mesentery or bowel rotating around the artery, and not a spiral course of the duodenum or bowel that does not involve the mesenteric vessels; enteric fluid counts only a statement that fluid was given by mouth or tube, not fluid seen in the lumen; dynamic assessment counts a statement of real-time observation or a description of fluid passing the pylorus or duodenum; limiting bowel gas counts only an explicit statement that gas impaired the view. Uncertain wording was coded absent and the sentence noted. Five of 1,428 item codes, in four examinations, differed and were adjudicated against the criteria. Two of the 119 episodes were later removed (K1 and K2), so the analysis uses 117.</w:t>
      </w:r>
    </w:p>
    <w:p>
      <w:pPr>
        <w:spacing w:after="160"/>
      </w:pPr>
      <w:r>
        <w:rPr>
          <w:b/>
        </w:rPr>
        <w:t>Table S2. Agreement of the two independent readers on the twelve ultrasound content items, and agreement of the text patterns with their consensus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A,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B,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Agreement,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Cohen kappa</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Consensus,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Text pattern agreeing with consensus, n of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Bowel gas explicitly limiting the study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111</w:t>
            </w:r>
          </w:p>
        </w:tc>
      </w:tr>
    </w:tbl>
    <w:p>
      <w:pPr>
        <w:spacing w:after="160"/>
      </w:pPr>
    </w:p>
    <w:p>
      <w:pPr>
        <w:spacing w:after="160"/>
      </w:pPr>
      <w:r>
        <w:t>Agreement and kappa are over the 119 episodes read; the consensus coding of the 117 retained episodes is used in Table 3 of the manuscript, Figure 3 and Supplement 2.</w:t>
      </w:r>
    </w:p>
    <w:p>
      <w:pPr>
        <w:pStyle w:val="Heading1"/>
      </w:pPr>
      <w:r>
        <w:t>I. Distribution of labels by modality</w:t>
      </w:r>
    </w:p>
    <w:p>
      <w:pPr>
        <w:spacing w:after="160"/>
      </w:pPr>
      <w:r>
        <w:rPr>
          <w:b/>
        </w:rPr>
        <w:t>Table S3. Distribution of algorithmic labels and certainty tiers, by modality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reports</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positive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negative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definite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probable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possible wording</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 (21.5%)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 (47.3%)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 (45.3%)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Total</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723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179</w:t>
            </w:r>
          </w:p>
        </w:tc>
      </w:tr>
    </w:tbl>
    <w:p>
      <w:pPr>
        <w:spacing w:after="16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