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2,991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65 of 119 examinations (54.6%): in 58 of 58 recording a whirlpool and 7 of 61 without one, whereas a whirlpool appeared in only 58 of 113 children with confirmed volvulus. Ultrasound detection rose from 41.0% to 61.3% between eras; adjusting for a shift towards great-vessel sessions reduced the difference from +20.2 to +10.3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were under-calls, but these samples cannot establish the direction of error elsewhere.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penalised estimate of the separated contrast are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and rose for CT but not the UGI series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the last preoperative test in 75% of the children who underwent more than one.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98.1%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