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an audit of 740 preoperative index examinations in 410 surgically confirmed children"</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five reports were changed to positive because a malrotation sign appeared in the findings section without being carried into the conclusion (Section G). The final outcome is therefore "positive under the study definition after adjudication", not "positive conclusion", and the two differ in those five reports.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cancelled as a negation; a hedged cue is read in the twelve characters before the term or, up to the next punctuation, after it. Reports with no matching clause were labelled negative. Technically non-diagnostic studies were not coded separately as indeterminate and were labelled by their stated conclusion.</w:t>
      </w:r>
    </w:p>
    <w:p>
      <w:pPr>
        <w:pStyle w:val="Heading1"/>
      </w:pPr>
      <w:r>
        <w:t>G. Validation and adjudication</w:t>
      </w:r>
    </w:p>
    <w:p>
      <w:pPr>
        <w:spacing w:after="160"/>
      </w:pPr>
      <w:r>
        <w:t>A paediatric surgeon blinded to the operative findings adjudicated 32 reports in two independent samples.</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Direction of error.</w:t>
      </w:r>
      <w:r>
        <w:t xml:space="preserve"> All 7 discordances identified in the two reviewed samples were algorithmic under-calls (a true positive labelled negative) and were corrected. No over-call was identified among the 32 reports reviewed. This does not establish the direction of residual misclassification in the 708 reports that were not reviewed: the random sample contains 24 reports, and the targeted sample was selected on suspected under-call, so it could not have produced an over-call. Whether the reported detection rates are biased, and in which direction, is not determined by these data.</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Applied to all 740 preoperative index reports and compared with the final labels used in the analysis (the algorithmic labels after blinded surgeon adjudication), the reference implementation agreed on 726 of 740 (98.1%): 98.7% for the UGI series, 98.1% for CT and 96.6% for ultrasound. All fourteen disagreements were reference-implementation under-calls; there was no over-call.</w:t>
      </w:r>
    </w:p>
    <w:p>
      <w:pPr>
        <w:spacing w:after="160"/>
      </w:pPr>
      <w:r>
        <w:t>These 14 disagreements are not the same set as the 7 corrections made by the adjudicator in Section G, and the two counts should not be equated. The 7 are the discordances found in the 32 reports a human reviewed; the 14 are the reports where the published code and the final label differ, across all 740. Only some of the 14 were among the 32 reviewed; the analysis dataset retains the final labels only, without a per-report record of which reports were adjudicated or of their pre-adjudication labels, so the overlap cannot be reconstructed here.</w:t>
      </w:r>
    </w:p>
    <w:p>
      <w:pPr>
        <w:spacing w:after="160"/>
      </w:pPr>
      <w:r>
        <w:t>The 14 share the failure modes listed in Section G: the diagnosis stated in the findings section but not carried into the conclusion; a conclusion consisting only of a cross-reference to another report; and a diagnostic sign described morphologically without the diagnosis being named. That all 14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seventeen reports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colour Doppler, caecal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(D3)</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十二指肠水平部|十二指肠水平段|十二指肠横部|十二指肠第三段|(?&lt;![弓])横部|水平部</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十二指肠空肠曲|屈氏|Treitz|十二指肠悬韧带|十二指肠[-—与和]?空肠交界</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(?:静脉|动脉)[^。；\n]{0,10}(?:换位|反位|倒置|关系异常|异常关系)|静脉位于[^。；\n]{0,8}左|动脉位于[^。；\n]{0,8}右</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 counted only where no negation (未见|未探及|未显示|未发现|无明显|不明显|未闻) occurs in the 12 characters preceding the match within the same clause</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饮水|口服[^。；\n]{0,6}(?:水|液|造影剂)|注水|注入|胃内注|温开水|经胃管</w:t>
            </w:r>
          </w:p>
        </w:tc>
      </w:tr>
      <w:tr>
        <w:tc>
          <w:tcPr>
            <w:tcW w:type="dxa" w:w="3120"/>
          </w:tcPr>
          <w:p>
            <w:r/>
            <w:r>
              <w:rPr>
                <w:rFonts w:ascii="Times New Roman" w:hAnsi="Times New Roman"/>
                <w:sz w:val="17"/>
              </w:rPr>
              <w:t>Dynamic (real-time) assessment</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动态|实时观察|连续观察</w:t>
            </w:r>
          </w:p>
        </w:tc>
      </w:tr>
      <w:tr>
        <w:tc>
          <w:tcPr>
            <w:tcW w:type="dxa" w:w="3120"/>
          </w:tcPr>
          <w:p>
            <w:r/>
            <w:r>
              <w:rPr>
                <w:rFonts w:ascii="Times New Roman" w:hAnsi="Times New Roman"/>
                <w:sz w:val="17"/>
              </w:rPr>
              <w:t>Graded compression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加压|探头压|压迫探查</w:t>
            </w:r>
          </w:p>
        </w:tc>
      </w:tr>
      <w:tr>
        <w:tc>
          <w:tcPr>
            <w:tcW w:type="dxa" w:w="3120"/>
          </w:tcPr>
          <w:p>
            <w:r/>
            <w:r>
              <w:rPr>
                <w:rFonts w:ascii="Times New Roman" w:hAnsi="Times New Roman"/>
                <w:sz w:val="17"/>
              </w:rPr>
              <w:t>Colour Doppler used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CDFI|彩色多普勒|多普勒</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空肠曲|屈氏|Treitz|悬韧带|十二指肠[-—与和]?空肠交界</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the whirlpool text variable agrees with the separately adjudicated whirlpool variable in 118 of the 119 ultrasound examinations; the single disagreement is a child whose whirlpool was documented on an ultrasound performed on a different day from the index episode.</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171 (53.4%)</w:t>
            </w:r>
          </w:p>
        </w:tc>
        <w:tc>
          <w:tcPr>
            <w:tcW w:type="dxa" w:w="1337"/>
          </w:tcPr>
          <w:p>
            <w:r/>
            <w:r>
              <w:rPr>
                <w:rFonts w:ascii="Times New Roman" w:hAnsi="Times New Roman"/>
                <w:sz w:val="17"/>
              </w:rPr>
              <w:t>149 (46.6%)</w:t>
            </w:r>
          </w:p>
        </w:tc>
        <w:tc>
          <w:tcPr>
            <w:tcW w:type="dxa" w:w="1337"/>
          </w:tcPr>
          <w:p>
            <w:r/>
            <w:r>
              <w:rPr>
                <w:rFonts w:ascii="Times New Roman" w:hAnsi="Times New Roman"/>
                <w:sz w:val="17"/>
              </w:rPr>
              <w:t>34</w:t>
            </w:r>
          </w:p>
        </w:tc>
        <w:tc>
          <w:tcPr>
            <w:tcW w:type="dxa" w:w="1337"/>
          </w:tcPr>
          <w:p>
            <w:r/>
            <w:r>
              <w:rPr>
                <w:rFonts w:ascii="Times New Roman" w:hAnsi="Times New Roman"/>
                <w:sz w:val="17"/>
              </w:rPr>
              <w:t>75</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65 (54.6%)</w:t>
            </w:r>
          </w:p>
        </w:tc>
        <w:tc>
          <w:tcPr>
            <w:tcW w:type="dxa" w:w="1337"/>
          </w:tcPr>
          <w:p>
            <w:r/>
            <w:r>
              <w:rPr>
                <w:rFonts w:ascii="Times New Roman" w:hAnsi="Times New Roman"/>
                <w:sz w:val="17"/>
              </w:rPr>
              <w:t>54 (45.4%)</w:t>
            </w:r>
          </w:p>
        </w:tc>
        <w:tc>
          <w:tcPr>
            <w:tcW w:type="dxa" w:w="1337"/>
          </w:tcPr>
          <w:p>
            <w:r/>
            <w:r>
              <w:rPr>
                <w:rFonts w:ascii="Times New Roman" w:hAnsi="Times New Roman"/>
                <w:sz w:val="17"/>
              </w:rPr>
              <w:t>16</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473</w:t>
            </w:r>
          </w:p>
        </w:tc>
        <w:tc>
          <w:tcPr>
            <w:tcW w:type="dxa" w:w="1337"/>
          </w:tcPr>
          <w:p>
            <w:r/>
            <w:r>
              <w:rPr>
                <w:rFonts w:ascii="Times New Roman" w:hAnsi="Times New Roman"/>
                <w:sz w:val="17"/>
              </w:rPr>
              <w:t>267</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