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4. A minimum reporting dataset for ultrasound in suspected intestinal malrotation, and how to re-audit against it</w:t>
      </w:r>
    </w:p>
    <w:p>
      <w:pPr>
        <w:spacing w:after="160"/>
      </w:pPr>
      <w:r>
        <w:t>Supplement to: "Routine Ultrasound Reports for Pediatric Intestinal Malrotation Rarely Document Duodenal Landmarks: A Single-Center Audit"</w:t>
      </w:r>
    </w:p>
    <w:p>
      <w:pPr>
        <w:pStyle w:val="Heading1"/>
      </w:pPr>
      <w:r>
        <w:t>A. What the dataset is</w:t>
      </w:r>
    </w:p>
    <w:p>
      <w:pPr>
        <w:spacing w:after="160"/>
      </w:pPr>
      <w:r>
        <w:t>The dataset lists the statements that an ultrasound report would need to contain for a reader to judge whether the examination resembled those on which published performance rests. Its technique elements are those to which the literature cited in the manuscript attributes that performance (Menten 2012; Hennessey 2014; Nguyen 2021, 2022 and 2025; McCurdie 2024); the whirlpool sign is taken from Shimanuki 1996, and study adequacy from El-Ali 2025, in which 25.7% of examinations for malrotation and 13.5% for volvulus were non-diagnostic on the original report. Each element is recorded whether the finding is normal, abnormal or not obtained, so that an omitted step can be distinguished from a normal one.</w:t>
      </w:r>
    </w:p>
    <w:p>
      <w:pPr>
        <w:spacing w:after="160"/>
      </w:pPr>
      <w:r>
        <w:t>The dataset is a proposal derived from this audit. It has not been validated, its effect on documentation or on detection has not been tested, and it prescribes no technique beyond what the cited literature describes. It records what was done; it does not make an examination adequate.</w:t>
      </w:r>
    </w:p>
    <w:p>
      <w:pPr>
        <w:spacing w:after="160"/>
      </w:pPr>
      <w:r>
        <w:rPr>
          <w:b/>
        </w:rPr>
        <w:t>Table S19. Minimum reporting dataset for ultrasound in suspected intestinal malrotation, with the documentation rate in this audit as the baseline for re-audit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Element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What the report states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Counted as documented in this audit when the report…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in this audit, n (%) of 117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the duodenum (D3)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D3 was seen crossing between the superior mesenteric artery and the aorta, or that it was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names the third (horizontal) portion, whether normal, abnormal or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Its position, or that it was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names the duodenojejunal junction or its position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The position of the vein relative to the artery, or that it was not assessed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the position of the two vessels relative to each other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fluid was given, by which route, and whether its passage was followed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fluid was given by mouth or tube (fluid seen in the lumen does not count)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assessment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passage of fluid through the pylorus and duodenum was observed in real time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real-time observation, or describes fluid passing the pylorus or duodenum</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 (3.4)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graded compression was used to displace bowel gas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compression was used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of the mesenteric vessels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That the mesenteric vessels were examined with color Doppler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color Doppler examination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 (97.4)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sign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Present or absent, stated explicitly in either case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describes a whirlpool or swirl, or a vein, mesentery or bowel rotating around the artery (present only; a stated absence was not coded)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Study adequacy</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the examination was diagnostic, and if not, what limited it (bowel gas, patient state, incomplete views)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explicitly that bowel gas limited the study (other statements of adequacy were not coded)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36 (30.8)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Malrotation and volvulus addressed separately, each as present, absent or indeterminate, with the recommended next test when indeterminate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coded as such; the certainty tiers of positive conclusions are given in Table 2 of the manuscript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coded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Also audited, not part of the dataset</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mentions the duodenum in any form (a lower bound on duodenal assessment)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 (6.0)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the vessels are inverted (one of the two ultrasound positivity criteria)</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Cecal position</w:t>
            </w:r>
          </w:p>
        </w:tc>
        <w:tc>
          <w:tcPr>
            <w:tcW w:type="dxa" w:w="2340"/>
            <w:tcBorders>
              <w:left w:sz="0" w:val="nil" w:color="auto"/>
              <w:right w:sz="0" w:val="nil" w:color="auto"/>
              <w:top w:sz="0" w:val="nil" w:color="auto"/>
              <w:bottom w:sz="12" w:val="single" w:color="000000"/>
            </w:tcBorders>
          </w:tcPr>
          <w:p>
            <w:pPr>
              <w:spacing w:after="40" w:before="40"/>
            </w:pPr>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states where the cecum lies</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 (4.3)</w:t>
            </w:r>
          </w:p>
        </w:tc>
      </w:tr>
    </w:tbl>
    <w:p>
      <w:pPr>
        <w:spacing w:after="160"/>
      </w:pPr>
    </w:p>
    <w:p>
      <w:pPr>
        <w:spacing w:after="160"/>
      </w:pPr>
      <w:r>
        <w:t>The last column is the baseline from this audit: the consensus coding of the 117 ultrasound index examinations by the two readers, applying the written criteria of Supplement 1, Section K3. The baseline was measured in children with surgically confirmed malrotation, most of whom had volvulus; documentation in children investigated for suspicion may differ.</w:t>
      </w:r>
    </w:p>
    <w:p>
      <w:pPr>
        <w:pStyle w:val="Heading1"/>
      </w:pPr>
      <w:r>
        <w:t>B. Re-auditing against the dataset</w:t>
      </w:r>
    </w:p>
    <w:p>
      <w:pPr>
        <w:spacing w:after="160"/>
      </w:pPr>
      <w:r>
        <w:rPr>
          <w:b/>
        </w:rPr>
        <w:t>No reference standard is needed.</w:t>
      </w:r>
      <w:r>
        <w:t xml:space="preserve"> Documentation is a property of the report, not of the child's diagnosis. It can therefore be audited prospectively in every examination requested for suspected malrotation, without operative follow-up, unlike sensitivity or report-level detection, which require the outcome.</w:t>
      </w:r>
    </w:p>
    <w:p>
      <w:pPr>
        <w:spacing w:after="160"/>
      </w:pPr>
      <w:r>
        <w:rPr>
          <w:b/>
        </w:rPr>
        <w:t>Population and unit.</w:t>
      </w:r>
      <w:r>
        <w:t xml:space="preserve"> All ultrasound examinations requested for suspected malrotation or volvulus in a defined period. Reports of one session issued on the same day are pooled into one unit, as in this audit, because some departments issue separate gastrointestinal and vessel reports for a single session.</w:t>
      </w:r>
    </w:p>
    <w:p>
      <w:pPr>
        <w:spacing w:after="160"/>
      </w:pPr>
      <w:r>
        <w:rPr>
          <w:b/>
        </w:rPr>
        <w:t>Coding.</w:t>
      </w:r>
      <w:r>
        <w:t xml:space="preserve"> Each element is coded documented or not documented from the findings and conclusion text, against the rule in the third column. Two independent readers with adjudication of disagreements (as here), or one reader with a double-coded sample, allow agreement to be reported. Text patterns alone are not sufficient: in this audit the pattern for the artery–vein relationship disagreed with the readers' consensus in 9 of 117 examinations (Supplement 1, Table S2).</w:t>
      </w:r>
    </w:p>
    <w:p>
      <w:pPr>
        <w:spacing w:after="160"/>
      </w:pPr>
      <w:r>
        <w:rPr>
          <w:b/>
        </w:rPr>
        <w:t>Measures.</w:t>
      </w:r>
      <w:r>
        <w:t xml:space="preserve"> The proportion of examinations documenting each element, with Wilson 95% confidence intervals, compared with the baseline above. Targets are for each department to set; we propose none because no evidence-based standard exists.</w:t>
      </w:r>
    </w:p>
    <w:p>
      <w:pPr>
        <w:spacing w:after="160"/>
      </w:pPr>
      <w:r>
        <w:rPr>
          <w:b/>
        </w:rPr>
        <w:t>What a re-audit cannot show.</w:t>
      </w:r>
      <w:r>
        <w:t xml:space="preserve"> A rise in documentation shows that reports changed, not that examinations became more accurate. Whether documenting these elements changes detection or accuracy requires outcome data and a diagnostic accuracy design.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2026-10-17T00:47:19Z</dcterms:created>
  <dcterms:modified xsi:type="dcterms:W3CDTF">2026-10-17T00:47:19Z</dcterms:modified>
  <cp:category/>
  <cp:contentStatus/>
  <dc:identifier/>
  <dc:language/>
  <cp:version/>
</cp:coreProperties>
</file>