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2,998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the first-line investigation for suspected intestinal malrotation, on the basis of sensitivities of 93–97% obtained under dedicated protocols that assess the third portion of the duodenum (D3) and the mesenteric vessels. We audited the technical content recorded in routine reports and its relation to whether the diagnosis was reported.</w:t>
      </w:r>
    </w:p>
    <w:p>
      <w:pPr>
        <w:spacing w:after="160"/>
      </w:pPr>
      <w:r>
        <w:rPr>
          <w:b/>
        </w:rPr>
        <w:t>Methods</w:t>
      </w:r>
      <w:r>
        <w:t xml:space="preserve"> Retrospective case-only report audit at a single tertiary children's hospital (December 2012–June 2026). For each child and modality, the index unit was the preoperative examination episode closest to operation, with reports issued on the same day pooled. Episodes were classified for malrotation detection by a rule-based algorithm with blinded surgical adjudication, and were separately audited for documented technical content. Because the cohort was assembled on surgically confirmed disease, the outcome is report-level detection among children who underwent the test; specificity, predictive values and comparative accuracy are not estimable.</w:t>
      </w:r>
    </w:p>
    <w:p>
      <w:pPr>
        <w:spacing w:after="160"/>
      </w:pPr>
      <w:r>
        <w:rPr>
          <w:b/>
        </w:rPr>
        <w:t>Results</w:t>
      </w:r>
      <w:r>
        <w:t xml:space="preserve"> Among 465 children (median age at operation 13 days; volvulus in 86.7%), 410 underwent at least one index test (740 examinations from 778 reports). Three of 119 ultrasound examinations (2.5%) documented D3 or the duodenojejunal junction, 12 (10.1%) the superior mesenteric artery–vein relationship and 2 (1.7%) enteric fluid administration; a whirlpool sign was reported in 48.7%. Malrotation was reported in 58 of 58 examinations that recorded a whirlpool and in 7 of 61 that did not, whereas a whirlpool was recorded in only 58 of the 113 children in whom operation confirmed volvulus. Detection was 78.7% (237/301) for the UGI series, 53.4% (171/320) for CT and 54.6% (65/119) for ultrasound, on non-comparable denominators. Ultrasound detection rose from 41.0% to 61.3% between eras; adjustment for a shift towards sessions that included an abdominal great-vessel study reduced this difference from +20.2 to +10.3 percentage points, with an interval including zero, while the examination-type term remained between 3.1 and 3.9 at every era boundary tested.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in these data, but the gap coincides with a measurable deficit in what the examinations recorded.</w:t>
      </w:r>
    </w:p>
    <w:p>
      <w:pPr>
        <w:spacing w:after="160"/>
      </w:pPr>
      <w:r>
        <w:rPr>
          <w:b/>
        </w:rPr>
        <w:t>Critical relevance statement</w:t>
      </w:r>
      <w:r>
        <w:t xml:space="preserve"> A department adopting an ultrasound-first pathway on the basis of published sensitivities of 93–97% should first audit whether its own reports document the duodenal landmarks that produced those figures. In this department they almost never did, and 45% of ultrasound examinations in children who proved to have malrotation did not report the diagnosis.</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Over the past decade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 which this design cannot do.</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since an examination reporting the vessel relationship as normal had assessed the vessels. The whirlpool sign, a finding rather than a technique, was counted only where not negated. The audit is a lower bound on what was performed.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but excluded from the agreement statistics. All discordances were machine under-calls, so detection rates are conservative.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it is estimable when restricted to the UGI series and CT, and a Firth penalised estimate of the separated contrast is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because a conditional odds ratio attenuates when a predictive covariate is added even in the absence of mediation;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were all imaged before operation, the five without an in-hospital study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The UGI series was the last preoperative test in 75.1% of children who underwent it against 19.2% for CT, with higher detection in that position (80.4% vs 70.5%).</w:t>
      </w:r>
    </w:p>
    <w:p>
      <w:pPr>
        <w:pStyle w:val="Heading2"/>
      </w:pPr>
      <w:r>
        <w:t>Detection and certainty of wording</w:t>
      </w:r>
    </w:p>
    <w:p>
      <w:pPr>
        <w:spacing w:after="160"/>
      </w:pPr>
      <w:r>
        <w:t>Detection was 237/301 (78.7%, 95% CI 73.8–83.0) for the UGI series, 171/320 (53.4%, 48.0–58.8) for CT and 65/119 (54.6%, 45.7–63.3) for ultrasound (Table 2, Fig. 2). These denominators are indication-selected and overlapping, and are not a ranking. CT and ultrasound had lower odds of a positive report than the UGI series (adjusted odds ratio 0.29 and 0.27), and the same model showed higher detection above 1 year of age (3.14, 1.71–5.75) and in the later era (1.79, 1.20–2.68); these coefficients absorb indication, pathway position and examination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7 of the 61 without one (11.5%, 95% CI 5.7–21.8).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61.3% (49/80) in 2019–2026; CT 47.0% and 66.7%, and the UGI series 77.1% and 82.3% (Table 4). For ultrasound the change tracked how the examination was booked. Sessions including a great-vessel study rose from 33.3% to 67.5%, and adding this indicator reduced the era effect from +20.2 (95% CI +1.8 to +38.8) to +10.3 (−10.3 to +30.1) percentage points, the indicator carrying an odds ratio of 3.35 (1.51–7.44). Moving the era boundary from 2019 to 2022 left the examination-type odds ratio between 3.07 and 3.85, while the era odds ratio ranged from 2.82 to 1.25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47.5% (Cochran's Q p=0.001; the UGI series exceeded CT by 28.8 percentage points, 95% CI +13.6 to +44.1, and ultrasound by 23.7, +8.5 to +39.0, while the CT–ultrasound difference was compatible with zero, −5.1, −18.6 to +10.2),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54.6%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61%, and the change tracked what the examination was: adding the great-vessel indicator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no change in equipment, staffing or protocol, and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being last before operation in 75% of children.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Detection rose from 41% to 61% over the period in which this department reports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Restricting the volvulus definition to a documented rotation of 360° or more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is a boundary of the question rather than a defect in answering it,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