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obtained when the third portion of the duodenum (D3), the duodenojejunal junction and the mesenteric vessels are assessed under a dedicated protocol. Clinical decisions, however, rest on the routine report issued during unselected care, and whether routine reports contain the elements that produced those figures has not, to our knowledge, been examined at scale. This is a question about radiology practice and reporting quality rather than about the intrinsic accuracy of a modality, which is why we are submitting it to </w:t>
      </w:r>
      <w:r>
        <w:rPr>
          <w:i/>
        </w:rPr>
        <w:t>JACR</w:t>
      </w:r>
      <w:r>
        <w:t>.</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6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60% across the study period, and the change tracked how the examination was booked rather than what it documented: adjusting for a shift toward sessions that included an abdominal great-vessel study reduced the era effect from +19.0 to +8.2 percentage points, an interval that includes zero. By the department's account there was no change of equipment, staffing or protocol over the period, and growing awareness attached to the whirlpool sign rather than to duodenal anatomy, so detection rose while duodenal documentation did not.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