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2,990 (Introduction through Take-Home Points; excluding abstract, references, tables and figure legends); Tables: 4; Figures: 3; Supplemental material: Supplements 1–3</w:t>
      </w:r>
    </w:p>
    <w:p>
      <w:pPr>
        <w:pStyle w:val="Heading1"/>
      </w:pPr>
      <w:r>
        <w:t>Abstract</w:t>
      </w:r>
    </w:p>
    <w:p>
      <w:pPr>
        <w:spacing w:after="160" w:line="480" w:lineRule="auto"/>
      </w:pPr>
      <w:r>
        <w:rPr>
          <w:b/>
        </w:rPr>
        <w:t>Objective:</w:t>
      </w:r>
      <w:r>
        <w:t xml:space="preserve"> Ultrasound is increasingly advocated as first-line for suspected intestinal malrotation, based on sensitivities of 93–97% under dedicated protocols. We audited what routine reports document and whether the diagnosis was reported.</w:t>
      </w:r>
    </w:p>
    <w:p>
      <w:pPr>
        <w:spacing w:after="160" w:line="480" w:lineRule="auto"/>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The cohort being surgically confirmed, the outcome is report-level detection among children who underwent the test; specificity, predictive values and comparative accuracy are not estimable.</w:t>
      </w:r>
    </w:p>
    <w:p>
      <w:pPr>
        <w:spacing w:after="160" w:line="480" w:lineRule="auto"/>
      </w:pPr>
      <w:r>
        <w:rPr>
          <w:b/>
        </w:rPr>
        <w:t>Results:</w:t>
      </w:r>
      <w:r>
        <w:t xml:space="preserve"> Among 465 children (volvulus in 86.7%), 410 underwent at least one index test. Three of 119 ultrasound examinations (2.5%) documented the third portion of the duodenum or the duodenojejunal junction, 12 (10.1%) the mesenteric artery–vein relationship and 2 (1.7%) enteric fluid; a whirlpool sign was reported in 48.7%. Ultrasound reported malrotation in 64 of 119 examinations (53.8%): in 58 of 58 recording a whirlpool and 6 of 61 without one, whereas a whirlpool appeared in only 58 of 113 children with confirmed volvulus. Ultrasound detection rose from 41.0% to 60.0% between eras; adjusting for a shift toward great-vessel sessions reduced the difference from +19.0 to +8.2 percentage points, an interval including zero.</w:t>
      </w:r>
    </w:p>
    <w:p>
      <w:pPr>
        <w:spacing w:after="160" w:line="480" w:lineRule="auto"/>
      </w:pPr>
      <w:r>
        <w:rPr>
          <w:b/>
        </w:rPr>
        <w:t>Conclusion:</w:t>
      </w:r>
      <w:r>
        <w:t xml:space="preserve"> Routine ultrasound functioned as a whirlpool-dependent test for volvulus rather than a protocolized assessment of duodenal position. Whether the missing elements would close the gap to published performance cannot be tested here, but the deficit is measurable.</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 ultrasound: series report sensitivities of 93–97% under dedicated protocols, a systematic review of 17 studies and 2,257 children estimated a pooled sensitivity of 94% [11–13], and a single-center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line="480" w:lineRule="auto"/>
      </w:pPr>
      <w:r>
        <w:t>Those studies describe what ultrasound achieves under favorable conditions; clinicians act on the routine report issued during unselected care. To our knowledge, no study has examined the content of routine malrotation ultrasound reports at scale, or related it to whether the diagnosis was reported.</w:t>
      </w:r>
    </w:p>
    <w:p>
      <w:pPr>
        <w:spacing w:after="160" w:line="480" w:lineRule="auto"/>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line="480" w:lineRule="auto"/>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Supplement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(Figure 1). The clinical indication on each request was not retrievable, so confounding by indication is displayed through the characteristics of each modality group (Table 1) rather than adjusted for.</w:t>
      </w:r>
    </w:p>
    <w:p>
      <w:pPr>
        <w:spacing w:after="160" w:line="480" w:lineRule="auto"/>
      </w:pPr>
      <w:r>
        <w:t>Examinations were reported during routine care by radiologists unaware of the operative findings but not blinded to clinical history or previous imaging, within the general pediatric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line="480" w:lineRule="auto"/>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cecal position and bedside performance; for CT and the UGI series, the corresponding landmarks (Supplement 1). Technique elements were counted as documented whether the finding was normal or abnormal; the whirlpool sign, a finding rather than a technique, was counted only where not negated.</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outright.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[21]; the rule dictionary, negation logic, per-modality label distribution and worked misclassification examples are given in Supplement 1. A pediatric surgeon blinded to the operative findings adjudicated 32 reports. Agreement was 92% (Cohen kappa 0.83) in a stratified random sample of 24, and a targeted review of 8 suspected discordances identified 5 further under-calls, corrected from the full report text and excluded from the agreement statistics. All seven being under-calls, every index unit was then screened in both directions, returning nine positives whose text matched no diagnostic term or sign pattern and no negative naming the diagnosis. Source review confirmed three of the nine as over-calls, corrected to negative. Because adjudication read the whole report, the final label is the algorithmic label after review, not the conclusion alone. With a single adjudicator, interobserver agreement could not be estimated.</w:t>
      </w:r>
    </w:p>
    <w:p>
      <w:pPr>
        <w:pStyle w:val="Heading2"/>
      </w:pPr>
      <w:r>
        <w:t>Statistical analysis</w:t>
      </w:r>
    </w:p>
    <w:p>
      <w:pPr>
        <w:spacing w:after="160" w:line="480" w:lineRule="auto"/>
      </w:pPr>
      <w:r>
        <w:t>Detection rates are presented with Wilson 95% confidence intervals (CIs), with denominators shown wherever a rate appears. All analysis variables were complete. Between-modality comparison used a generalized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the estimable UGI-versus-CT interaction and a Firth penalized estimate of the separated contrast are given in Supplement 2 [23, 24]. In the subgroup that underwent all three modalities, detection was compared using Cochran's Q, the exact McNemar test and paired differences with bootstrap CIs (Supplement 2). The temporal change was examined using modality-specific logistic models of detection on era, before and after adding that modality's content variable, reported as odds ratios and as average marginal effects (Table 4);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Supplement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line="480" w:lineRule="auto"/>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Figure 1).</w:t>
      </w:r>
    </w:p>
    <w:p>
      <w:pPr>
        <w:spacing w:after="160" w:line="480" w:lineRule="auto"/>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line="480" w:lineRule="auto"/>
      </w:pPr>
      <w:r>
        <w:t>Detection was 237/301 (78.7%, 95% CI 73.8–83.0) for the UGI series, 169/320 (52.8%, 47.3–58.2) for CT and 64/119 (53.8%, 44.8–62.5) for ultrasound (Table 2, Figure 2). These denominators are indication-selected and overlapping, and are not a ranking. CT and ultrasound had lower odds of a positive report than the UGI series (adjusted odds ratio 0.29 and 0.26), and the same model showed higher detection above 1 year of age (3.02, 1.64–5.54) and in the later era (1.75, 1.18–2.62); these coefficients absorb indication, pathway position and examination content (Supplement 2). Reclassifying possible-tier conclusions as negative reduced detection to 51.2%, 33.4% and 26.9% (Table 2).</w:t>
      </w:r>
    </w:p>
    <w:p>
      <w:pPr>
        <w:pStyle w:val="Heading2"/>
      </w:pPr>
      <w:r>
        <w:t>Documented content of ultrasound examinations</w:t>
      </w:r>
    </w:p>
    <w:p>
      <w:pPr>
        <w:spacing w:after="160" w:line="480" w:lineRule="auto"/>
      </w:pPr>
      <w:r>
        <w:t>Of the 119 ultrasound index examinations, three (2.5%; 95% CI 0.9–7.2) documented D3 or the duodenojejunal junction and seven (5.9%) mentioned the duodenum (Table 3, Figure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line="480" w:lineRule="auto"/>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line="480" w:lineRule="auto"/>
      </w:pPr>
      <w:r>
        <w:t>Detection followed this content closely. Malrotation was reported in 58 of the 58 examinations recording a whirlpool and in 6 of the 61 without one (9.8%, 95% CI 4.6–19.8).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pStyle w:val="Heading2"/>
      </w:pPr>
      <w:r>
        <w:t>Change in detection over time</w:t>
      </w:r>
    </w:p>
    <w:p>
      <w:pPr>
        <w:spacing w:after="160" w:line="480" w:lineRule="auto"/>
      </w:pPr>
      <w:r>
        <w:t>Ultrasound detection was 41.0% (16/39) in 2012–2018 and 60.0% (48/80) in 2019–2026, and rose for CT but not the UGI series (Table 4). For ultrasound the change tracked how the examination was booked. Sessions including a great-vessel study rose from 33.3% to 67.5%, and adding this indicator reduced the era effect from +19.0 (95% CI +0.6 to +37.6) to +8.2 (−11.6 to +27.8) percentage points, the indicator carrying an odds ratio of 3.73 (1.67–8.33). Moving the era boundary from 2019 to 2022 left the examination-type odds ratio between 3.44 and 4.31, while the era odds ratio ranged from 2.67 to 1.14 (Supplement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pStyle w:val="Heading2"/>
      </w:pPr>
      <w:r>
        <w:t>Selected subgroup and populations not represented</w:t>
      </w:r>
    </w:p>
    <w:p>
      <w:pPr>
        <w:spacing w:after="160" w:line="480" w:lineRule="auto"/>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45.8% (Cochran's Q p&lt;0.001; the UGI series exceeded CT by 30.5 percentage points, 95% CI +15.3 to +47.5, and ultrasound by 23.7, +8.5 to +39.0, while the CT–ultrasound difference was compatible with zero, −6.8, −20.3 to +6.8), and was unchanged within 48 h (Supplement 2). These comparisons describe reporting within one selected subgroup and are not measures of accuracy. Only 6 of the 62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line="480" w:lineRule="auto"/>
      </w:pPr>
      <w:r>
        <w:t>Malrotation was reported in 53.8% of the surgically confirmed children who underwent ultrasound, compared with 93% (original reports) and 97% (blinded review) in the 2025 multicenter series, which excluded non-diagnostic and equivocal examinations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multicenter series [13], and the duodenojejunal junction, often with enteric fluid, in readers alert to the diagnosis [15–17], whereas ours almost never did. The 2021 systematic review likewise found better performance where enteric fluid was given before the examination [11].</w:t>
      </w:r>
    </w:p>
    <w:p>
      <w:pPr>
        <w:spacing w:after="160" w:line="480" w:lineRule="auto"/>
      </w:pPr>
      <w:r>
        <w:t>The temporal analysis is consistent with this interpretation without establishing it. Detection rose from 41% to 60%, and the change tracked what the examination was: adding the great-vessel indicator more than halved the era effect on the risk-difference scale, whereas the examination-type effect was stable at every boundary tested. The booking category was not randomized,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growing awareness from about 2021 attached to the whirlpool sign rather than to duodenal anatomy, so that the improvement also ran toward volvulus.</w:t>
      </w:r>
    </w:p>
    <w:p>
      <w:pPr>
        <w:spacing w:after="160" w:line="480" w:lineRule="auto"/>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usually being the last preoperative test. The modalities were also used in different children for different reasons (Table 1), which no adjustment can undo.</w:t>
      </w:r>
    </w:p>
    <w:p>
      <w:pPr>
        <w:spacing w:after="160" w:line="480" w:lineRule="auto"/>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55 children without an index test were excluded from the denominators, an informative missingness. Excluding children whose operative record states a rotation below 360° changes prevalence from 86.7% to 82.6%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Radiation dose could not be captured, and whether the deficit at this center generalizes is unknown.</w:t>
      </w:r>
    </w:p>
    <w:p>
      <w:pPr>
        <w:pStyle w:val="Heading1"/>
      </w:pPr>
      <w:r>
        <w:t>Take-Home Points</w:t>
      </w:r>
    </w:p>
    <w:p>
      <w:pPr>
        <w:spacing w:after="160" w:line="480" w:lineRule="auto"/>
      </w:pPr>
      <w:r>
        <w:t>• Routine ultrasound reports for children with surgically confirmed malrotation documented the duodenal landmarks underpinning published accuracy in 2.5% of examinations and reported the diagnosis almost only when a whirlpool sign was present.</w:t>
      </w:r>
    </w:p>
    <w:p>
      <w:pPr>
        <w:spacing w:after="160" w:line="480" w:lineRule="auto"/>
      </w:pPr>
      <w:r>
        <w:t>• In practice, routine ultrasound served as a test for volvulus rather than for malrotation: a whirlpool sign was recorded in only 58 of 113 children in whom operation confirmed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Before assuming that published ultrasound performance applies locally, departments should audit whether their own reports document the duodenal landmarks; a structured report would make the gap auditable.</w:t>
      </w:r>
    </w:p>
    <w:p>
      <w:pPr>
        <w:pStyle w:val="Heading1"/>
      </w:pPr>
      <w:r>
        <w:t>Supplemental Material</w:t>
      </w:r>
    </w:p>
    <w:p>
      <w:pPr>
        <w:spacing w:after="160" w:line="480" w:lineRule="auto"/>
      </w:pPr>
      <w:r>
        <w:rPr>
          <w:b/>
        </w:rPr>
        <w:t>Supplement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(`Supplement_1_classifier.py`), which reproduces 98.9%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line="480" w:lineRule="auto"/>
      </w:pPr>
      <w:r>
        <w:rPr>
          <w:b/>
        </w:rPr>
        <w:t>Supplement 3.</w:t>
      </w:r>
      <w:r>
        <w:t xml:space="preserve"> Content audit of the 320 CT and 301 upper gastrointestinal series index examinations, with detection conditional on documented content.</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manuscript preparation process:</w:t>
      </w:r>
      <w:r>
        <w:t xml:space="preserve"> 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20.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21.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22.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23. Firth D. Bias reduction of maximum likelihood estimates. </w:t>
      </w:r>
      <w:r>
        <w:rPr>
          <w:i/>
          <w:sz w:val="20"/>
        </w:rPr>
        <w:t>Biometrika</w:t>
      </w:r>
      <w:r>
        <w:rPr>
          <w:sz w:val="20"/>
        </w:rPr>
        <w:t>. 1993;80:27-38. doi:10.1093/biomet/80.1.27</w:t>
      </w:r>
    </w:p>
    <w:p>
      <w:pPr>
        <w:spacing w:after="60" w:line="480" w:lineRule="auto"/>
      </w:pPr>
      <w:r>
        <w:rPr>
          <w:sz w:val="20"/>
        </w:rPr>
        <w:t xml:space="preserve">24. Heinze G, Schemper M. A solution to the problem of separation in logistic regression. </w:t>
      </w:r>
      <w:r>
        <w:rPr>
          <w:i/>
          <w:sz w:val="20"/>
        </w:rPr>
        <w:t>Stat Med</w:t>
      </w:r>
      <w:r>
        <w:rPr>
          <w:sz w:val="20"/>
        </w:rPr>
        <w:t>. 2002;21:2409-2419. doi:10.1002/sim.1047</w:t>
      </w:r>
    </w:p>
    <w:p>
      <w:r>
        <w:br w:type="page"/>
      </w:r>
    </w:p>
    <w:p>
      <w:pPr>
        <w:keepNext/>
        <w:spacing w:after="160"/>
      </w:pPr>
      <w:r>
        <w:rPr>
          <w:b/>
        </w:rPr>
        <w:t>Table 1. Characteristics of the 465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320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(7–85)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(8–35)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(6–47)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(5–27)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 (4–932)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302 (64.9)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216 (71.8)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222 (69.4)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90 (75.6)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 (41.8)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93 (20.0)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 (15.0)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 (16.9)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 (12.6)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 (29.1)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352 (75.7)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226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250 (78.1)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94 (79.0)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39 (70.9)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166 (35.7)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96 (31.9)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105 (32.8)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80 (67.2)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 (34.5)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403 (86.7)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268 (89.0)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281 (87.8)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(95.0)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 (76.4)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441 (94.8)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288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308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(95.0)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50 (90.9)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219 (47.1)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166 (55.1)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165 (51.6)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(21.8)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183 (39.4)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119 (39.5)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137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 (47.9)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24 (43.6)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(24.3)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64 (21.3)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88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32 (26.9)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(20.0)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72 (15.5)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33 (11.0)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 (14.4)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(23.6)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Recurrent/intermittent symptoms,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221 (47.5)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152 (50.5)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148 (46.2)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53 (44.5)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 (38.2)</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Positive/total</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rate,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Definite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Probable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Possible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excluding possible wording, %</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237/301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78.7 (73.8–83.0)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76 (32.1)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83 (35.0)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51.2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(all)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169/320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52.8 (47.3–58.2)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 (19.5)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74 (43.8)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 (36.7)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53.8 (44.8–62.5)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 (23.4)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 (26.6)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 (50.0)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26.9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 xml:space="preserve">  CT, contrast-enhanced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42/52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80.8 (68.1–89.2)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 xml:space="preserve">  CT, unenhanced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127/268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47.4 (41.5–53.4)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r>
        <w:br w:type="page"/>
      </w:r>
    </w:p>
    <w:p>
      <w:pPr>
        <w:keepNext/>
        <w:spacing w:after="160"/>
      </w:pPr>
      <w:r>
        <w:rPr>
          <w:b/>
        </w:rPr>
        <w:t>Table 3. Documented content of the 119 routine gastrointestinal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n (%) of 119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2012–2018 (n=39)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2019–2026 (n=80)</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62/116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 (5.9)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61/112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10/12 (83%)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54/107 (50%)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63/118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63/117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63/118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60/114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116 (97.5)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58/58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6/61 (10%)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 (25.2)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12/30 (40%)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52/89 (58%)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67 (56.3)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18/52 (35%)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75 (63.0)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37/75 (49%)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57/107 (53%)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 (7.6)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(Supplement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r>
        <w:br w:type="page"/>
      </w:r>
    </w:p>
    <w:p>
      <w:pPr>
        <w:keepNext/>
        <w:spacing w:after="160"/>
      </w:pPr>
      <w:r>
        <w:rPr>
          <w:b/>
        </w:rPr>
        <w:t>Table 4. Change in report-level detection between eras, and the examination-content variables associated with 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after adjustment for examination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Examination-content variable,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percentage points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158/205 (77.1%)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79/96 (82.3%)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1.38 (0.75–2.56), p=0.304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(technique unchanged)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69/105 (65.7%)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2.20 (1.36–3.58), p=0.001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1.95 (1.19–3.22), p=0.009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Intravenous contrast enhancement 4.21 (2.01–8.81), p&lt;0.001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+19.2 → +15.5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16/39 (41.0%)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48/80 (60.0%)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2.16 (0.99–4.70), p=0.053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1.44 (0.62–3.37), p=0.399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Session included a great-vessel study 3.73 (1.67–8.33), p=0.001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+19.0 → +8.2</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randomized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Supplement 2.</w:t>
      </w:r>
    </w:p>
    <w:p>
      <w:r>
        <w:br w:type="page"/>
      </w:r>
    </w:p>
    <w:p>
      <w:pPr>
        <w:pStyle w:val="Heading1"/>
      </w:pPr>
      <w:r>
        <w:t>Figure Legends</w:t>
      </w:r>
    </w:p>
    <w:p>
      <w:pPr>
        <w:spacing w:after="160" w:line="480" w:lineRule="auto"/>
      </w:pPr>
      <w:r>
        <w:rPr>
          <w:b/>
        </w:rPr>
        <w:t>Figure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119 ultrasound index examinations. B,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6 of 61 examinations that named the diagnosis without one.</w:t>
      </w:r>
    </w:p>
    <w:sectPr w:rsidR="00FC693F" w:rsidRPr="0006063C" w:rsidSect="00034616">
      <w:footerReference w:type="default" r:id="rId9"/>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