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2,986 (Introduction through Take-Home Points; excluding abstract, references, tables and figure legends); Tables: 4; Figures: 3; Supplemental material: Supplements 1–3</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Whether documenting them would close the gap cannot be tested from reports, but their absence can be audited.</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line="480" w:lineRule="auto"/>
      </w:pPr>
      <w:r>
        <w:t>The 2025 multicenter series measured performance from the original clinical reports, after excluding non-diagnostic and equivocal examinations [13].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[20].</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All operative records were re-read for 34 children whose anchor operation was not named as a malrotation procedure or followed earlier malrotation surgery: 19 were retained and 15 excluded, 6 in whom that operation did not confirm malrotation and 9 reoperations after earlier malrotation surgery.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line="480" w:lineRule="auto"/>
      </w:pPr>
      <w:r>
        <w:t>Each ultrasound index examination was coded by two readers, an ultrasound physician and a pediatric surgeon,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[21] (rules, label distribution and worked misclassification examples in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[22]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in the three-modality model, as no ultrasound examination was positive among the five children without volvulus; the estimable UGI-versus-CT interaction and a Firth penalized estimate of the separated contrast are given in Supplement 2 [23, 24].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and Supplement 2 lists which analyses were pre-specified and which were decided after inspection of the data.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detection was higher in that position (80.0% [144/180] vs 70.0% [42/60] for the UGI series),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In 2018 the horizontal duodenum was described passing anterior to the superior mesenteric artery after oral contrast; in 2022 it was followed between the artery and the aorta with the duodenojejunal junction identified, the only examination resembling the published technique [16, 17]; in 2024 it could not be filled and further imaging was advised.</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its odds ratio of 3.51 (1.56–7.87) lay between 3.21 and 4.04 at every era boundary from 2019 to 2022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in whom the diagnosis remained uncertain,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In this setting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[25]),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in ultrasound detection was itself imprecise, the booking indicator was chosen after inspection of the data, and the earlier era contributed only 38 examinations. Adding the indicator roughly halved the estimated rise, but booking was not randomized: a child suspected of volvulus is both more likely to be booked for a vessel study and more likely to have a whirlpool, so indication and technique cannot be separated.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Departments adopting an ultrasound-first pathway on the basis of sensitivities of 93–97% should first establish that their examinations resemble those that produced them. Here the duodenal landmarks remained largely undocumented throughout the study period. A structured report requiring explicit statements on D3, the duodenojejunal junction and study adequacy would make this gap auditable.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and whether the deficit at this center generalizes is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Before assuming that published ultrasound performance applies locally, departments should audit whether their own reports document the duodenal landmarks; a structured report would make the gap auditable.</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20.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21.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22.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23. Firth D. Bias reduction of maximum likelihood estimates. </w:t>
      </w:r>
      <w:r>
        <w:rPr>
          <w:i/>
          <w:sz w:val="20"/>
        </w:rPr>
        <w:t>Biometrika</w:t>
      </w:r>
      <w:r>
        <w:rPr>
          <w:sz w:val="20"/>
        </w:rPr>
        <w:t>. 1993;80:27-38. doi:10.1093/biomet/80.1.27</w:t>
      </w:r>
    </w:p>
    <w:p>
      <w:pPr>
        <w:spacing w:after="60" w:line="480" w:lineRule="auto"/>
      </w:pPr>
      <w:r>
        <w:rPr>
          <w:sz w:val="20"/>
        </w:rPr>
        <w:t xml:space="preserve">24.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25.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elements documented in more than seven examinations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