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2,994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based on sensitivities of 93–97%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64 of 119 examinations (53.8%): in 58 of 58 recording a whirlpool and 6 of 61 without one, whereas a whirlpool appeared in only 58 of 113 children with confirmed volvulus. Ultrasound detection rose from 41.0% to 60.0% between eras; adjusting for a shift towards great-vessel sessions reduced the difference from +19.0 to +8.2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the missing elements would close the gap to published performance cannot be tested here, but the deficit is measurable.</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Intestinal malrotation with volvulus is a surgical emergency; ultrasound is advocated as first-line imaging based on sensitivities from dedicated protocols, not routine reporting.</w:t>
      </w:r>
    </w:p>
    <w:p>
      <w:pPr>
        <w:spacing w:after="160"/>
      </w:pPr>
      <w:r>
        <w:t>• Among 410 surgically confirmed children, routine ultrasound reports documented duodenal landmarks in only 2.5% of examinations; detection tracked the whirlpool sign almost exclusively.</w:t>
      </w:r>
    </w:p>
    <w:p>
      <w:pPr>
        <w:spacing w:after="160"/>
      </w:pPr>
      <w:r>
        <w:t>• Departments adopting ultrasound-first pathways for malrotation should audit whether their own reports document the duodenal landmarks that produced the published sensitivities; in this department they almost never did.</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single-centre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being under-calls, every index unit was then screened in both directions, returning nine positives whose text matched no diagnostic term or sign pattern and no negative naming the diagnosis. Source review confirmed three of the nine as over-calls, corrected to negative.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penalised estimate of the separated contrast are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(7–85)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(8–35)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(6–47)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(5–27)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 (4–932)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302 (64.9)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216 (71.8)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222 (69.4)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90 (75.6)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 (41.8)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93 (20.0)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 (15.0)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 (16.9)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 (12.6)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 (29.1)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352 (75.7)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226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250 (78.1)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94 (79.0)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39 (70.9)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(35.7)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96 (31.9)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105 (32.8)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80 (67.2)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 (34.5)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403 (86.7)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268 (89.0)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281 (87.8)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 (76.4)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441 (94.8)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288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308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(95.0)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50 (90.9)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219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166 (55.1)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165 (51.6)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(21.8)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183 (39.4)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119 (39.5)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137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 (47.9)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 (43.6)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113 (24.3)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64 (21.3)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88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32 (26.9)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(20.0)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72 (15.5)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33 (11.0)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 (14.4)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(23.6)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Recurrent/intermittent symptoms,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221 (47.5)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152 (50.5)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148 (46.2)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53 (44.5)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 (38.2)</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169/320 (52.8%, 47.3–58.2) for CT and 64/119 (53.8%, 44.8–62.5) for ultrasound (Table 2, Fig. 2). These denominators are indication-selected and overlapping, and are not a ranking. CT and ultrasound had lower odds of a positive report than the UGI series (adjusted odds ratio 0.29 and 0.26), and the same model showed higher detection above 1 year of age (3.02, 1.64–5.54) and in the later era (1.75, 1.18–2.62); these coefficients absorb indication, pathway position and examination content (Online Resource 2). Reclassifying possible-tier conclusions as negative reduced detection to 51.2%, 33.4% and 26.9% (Table 2).</w:t>
      </w:r>
    </w:p>
    <w:p>
      <w:pPr>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Positive/total</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Probable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Possible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excluding possible wording, %</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237/301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78.7 (73.8–83.0)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76 (32.1)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83 (35.0)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51.2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(all)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169/320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52.8 (47.3–58.2)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 (19.5)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74 (43.8)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(36.7)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53.8 (44.8–62.5)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 (23.4)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 (26.6)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 (50.0)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 xml:space="preserve">  CT, contrast-enhanced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42/52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80.8 (68.1–89.2)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 xml:space="preserve">  CT, unenhanced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127/268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47.4 (41.5–53.4)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6 of the 61 without one (9.8%, 95% CI 4.6–19.8).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119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2012–2018 (n=39)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2019–2026 (n=80)</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62/116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 (5.9)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10/12 (83%)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54/107 (50%)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63/117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63/118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Caecal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60/114 (53%)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Colour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116 (97.5)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58/58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6/61 (10%)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 (25.2)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12/30 (40%)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52/89 (58%)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67 (56.3)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18/52 (35%)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75 (63.0)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37/75 (49%)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57/107 (53%)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 (7.6)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60.0% (48/80) in 2019–2026, and rose for CT but not the UGI series (Table 4). For ultrasound the change tracked how the examination was booked. Sessions including a great-vessel study rose from 33.3% to 67.5%, and adding this indicator reduced the era effect from +19.0 (95% CI +0.6 to +37.6) to +8.2 (−11.6 to +27.8) percentage points, the indicator carrying an odds ratio of 3.73 (1.67–8.33). Moving the era boundary from 2019 to 2022 left the examination-type odds ratio between 3.44 and 4.31, while the era odds ratio ranged from 2.67 to 1.14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after adjustment for examination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Examination-content variable,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158/205 (77.1%)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79/96 (82.3%)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1.38 (0.75–2.56), p=0.304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(technique unchanged)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69/105 (65.7%)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2.20 (1.36–3.58),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1.95 (1.19–3.22), p=0.009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Intravenous contrast enhancement 4.21 (2.01–8.81),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+19.2 → +15.5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16/39 (41.0%)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48/80 (60.0%)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2.16 (0.99–4.70), p=0.053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1.44 (0.62–3.37), p=0.399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Session included a great-vessel study 3.73 (1.67–8.33), p=0.001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+19.0 → +8.2</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45.8% (Cochran's Q p&lt;0.001; the UGI series exceeded CT by 30.5 percentage points, 95% CI +15.3 to +47.5, and ultrasound by 23.7, +8.5 to +39.0, while the CT–ultrasound difference was compatible with zero, −6.8, −20.3 to +6.8),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53.8%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likewise found better performance where enteric fluid was given before the examination [11].</w:t>
      </w:r>
    </w:p>
    <w:p>
      <w:pPr>
        <w:spacing w:after="160"/>
      </w:pPr>
      <w:r>
        <w:t>The temporal analysis is consistent with this interpretation without establishing it. Detection rose from 41% to 60%, and the change tracked what the examination was: adding the great-vessel indicator more than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98.9%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6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