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2,999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For each child and modality the index unit was the preoperative examination episode closest to operation, pooling reports issued the same day. Episodes were classified for malrotation detection by a rule-based algorithm with blinded surgeon adjudication, and separately audited for documented technical content. Because the cohort was assembled on surgically confirmed disease, the outcome is report-level detection among children who received the test; specificity, predictive values and comparative accuracy are not estimable.</w:t>
      </w:r>
    </w:p>
    <w:p>
      <w:pPr>
        <w:spacing w:after="160"/>
      </w:pPr>
      <w:r>
        <w:rPr>
          <w:b/>
        </w:rPr>
        <w:t>Results</w:t>
      </w:r>
      <w:r>
        <w:t xml:space="preserve"> Among 465 children (median age at operation 13 days; volvulus in 86.7%), 410 had at least one index test (740 examinations from 778 reports). Three of 119 ultrasound examinations (2.5%) documented D3 or the duodenojejunal junction, 12 (10.1%) the superior mesenteric artery–vein relationship and 2 (1.7%) enteric fluid administration, whereas a whirlpool sign was reported in 48.7%. Ultrasound named malrotation in 58 of 58 examinations reporting a whirlpool and 7 of 61 without one, but a whirlpool was reported in only 58 of the 113 children whose operation confirmed volvulus. Detection was 78.7% (237/301) for the UGI series, 53.4% (171/320) for CT and 54.6% (65/119) for ultrasound, on non-comparable denominators. Ultrasound detection rose from 41.0% to 61.3% between eras; adjusting for a shift toward sessions including an abdominal great-vessel study halved that difference (+20.2 to +10.3 percentage points), while the examination-type term stayed between 3.1 and 3.9 wherever the era boundary was placed.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here, but the gap coincides with a measurable deficit in what these examinations recorded.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in this department they almost never did, and a negative ultrasound did 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Ultrasound named the diagnosis almost only when a whirlpool sign was reported.</w:t>
      </w:r>
    </w:p>
    <w:p>
      <w:pPr>
        <w:spacing w:after="160"/>
      </w:pPr>
      <w:r>
        <w:t>• Improvement over time tracked examination type more closely than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duodenojejunal junction and the course of the proximal small bowel [5, 6, 13], an interpretation with well-described mimics [17]; abdominal CT is not a dedicated test, its mesenteric swirl being neither reliably present nor specific in children [10, 11]. Over the past decade the field has moved toward ultrasound: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as a modality but to specific technical elements — the third portion of the duodenum (D3), the duodenojejunal junction, the superior mesenteric artery–vein relationship, enteric fluid and dynamic graded compression [9, 12, 18, 20, 21] — which the same literature records as demanding and not universally achievable, D3 position alone being argued insufficient for a confident diagnosis [22].</w:t>
      </w:r>
    </w:p>
    <w:p>
      <w:pPr>
        <w:spacing w:after="160"/>
      </w:pPr>
      <w:r>
        <w:t>Those studies describe what ultrasound achieves under favourable conditions; what clinicians act on is the routine report issued during unselected care. To our knowledge, no study has examined the content of routine malrotation ultrasound reports at scale, or linked it to whether the diagnosis was named.</w:t>
      </w:r>
    </w:p>
    <w:p>
      <w:pPr>
        <w:spacing w:after="160"/>
      </w:pPr>
      <w:r>
        <w:t>We therefore audited 13.5 years of routine reports at a tertiary children's hospital. Because every child had surgically confirmed malrotation, the study measures how often the disease was named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 xml:space="preserve">This was a retrospective, single-centre, case-only report audit approved by the institutional review board with waiver of consent. Reporting follows STROBE [14]; STARD was not used, the design not being a diagnostic accuracy study. The cohort contains no children in whom malrotation was suspected and excluded, which fixes what can be measured. The outcome is the </w:t>
      </w:r>
      <w:r>
        <w:rPr>
          <w:b/>
        </w:rPr>
        <w:t>report-level detection rate among surgically confirmed children who received the test</w:t>
      </w:r>
      <w:r>
        <w:t xml:space="preserve">. We avoid the word "sensitivity": the quantity is a sensitivity only within the indication-selected group that underwent each test, and does not transfer to children investigated for suspicion. Specificity, predictive values and any accuracy-based ranking cannot be estimated at all.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searched the institutional surgical records database for operations performed between December 2012 and June 2026 whose operative diagnosis named intestinal malrotation or whose procedure was recorded as a Ladd procedure, and reviewed every retrieved record (exact search strings in Online Resource 1). Of 559 operative records in 499 children, 503 records in 465 consecutive children met this criterion, which served as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the operation, pooling every report of that modality issued that day, because the department routinely issues separate gastrointestinal and great-vessel reports for one ultrasound session. This gave 740 index examinations from 778 reports; 34 earlier repeat examinations were not audited (Fig. 1). The formal indication on each request was not retrievable, so confounding by indication is displayed through each modality group's characteristics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ever in use. On enquiry the department reports no material change in ultrasound equipment, reporting staff or protocol during the study period, attributing the change in practice from about 2021 to growing awareness of the diagnosis — an account given retrospectively rather than recorded at the time.</w:t>
      </w:r>
    </w:p>
    <w:p>
      <w:pPr>
        <w:pStyle w:val="Heading2"/>
      </w:pPr>
      <w:r>
        <w:t>Report-content audit and classification</w:t>
      </w:r>
    </w:p>
    <w:p>
      <w:pPr>
        <w:spacing w:after="160"/>
      </w:pPr>
      <w:r>
        <w:t>Each index unit was coded for documented technical content by pre-specified text patterns applied to the findings and conclusion sections — for ultrasound, D3 or the duodenojejunal junction, the mesenteric artery–vein relationship and vessel inversion, a whirlpool appearance, enteric fluid administration, dynamic and graded-compression technique, limiting bowel gas, caecal position and bedside performance; for CT and the UGI series, the corresponding landmarks (Online Resource 1). Technique elements count as documented whether the finding was normal or abnormal, since an examination stating that the vessel relationship is normal did assess the vessels; the whirlpool sign, a finding rather than a technique, counts only where not negated. The audit is a lower bound on what was performed.</w:t>
      </w:r>
    </w:p>
    <w:p>
      <w:pPr>
        <w:spacing w:after="160"/>
      </w:pPr>
      <w:r>
        <w:t>An examination was positive when its conclusion named malrotation or midgut volvulus, including tentative phrasing, or described a modality-specific sign of it: for ultrasound a whirlpool or an explicit statement of mesenteric vessel inversion; for the UGI series a corkscrew or spring appearance or a malpositioned duodenojejunal junction; for CT a mesenteric whirl or an explicitly abnormal duodenal position. Explicit negation was negative and isolated gastric volvulus was not counted. Because the whirlpool is both an audited element and a positivity criterion, we report how often conclusions named the diagnosis outright. Because tentative phrasing is standard here, we tabulated the certainty tier of every positive conclusion and repeated the analyses with "possible"-tier conclusions reclassified as negative.</w:t>
      </w:r>
    </w:p>
    <w:p>
      <w:pPr>
        <w:spacing w:after="160"/>
      </w:pPr>
      <w:r>
        <w:t>Report text was classified with a rule-based, clause-level algorithm with explicit negation handling [15]; the rule dictionary, negation logic, per-modality label distribution and worked misclassification examples are in Online Resource 1. A paediatric surgeon blinded to the operative findings adjudicated 32 reports: agreement was 92% (Cohen kappa 0.83) in a stratified random sample of 24, and a targeted review of 8 suspected discordances found 5 further under-calls, corrected but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Between-modality comparison used a generalised estimating equation (GEE) logistic model [16] with an exchangeable working correlation, patient-level clustering and cluster-robust standard errors, unadjusted and adjusted for era (2012–2018 vs 2019–2026) and age. A pre-specified modality-by-volvulus interaction was not estimable, no ultrasound examination being positive among the six children without volvulus (complete separation). In the subgroup receiving all three modalities, detection was compared with Cochran's Q and the exact McNemar test (Online Resource 2). The temporal change was examined with modality-specific logistic models of detection on era, before and after adding that modality's content variable, reported as odds ratios and as average marginal effects, because a conditional odds ratio attenuates when a predictive covariate is added even without mediation; the era boundary was varied from 2019 to 2022. Attenuation was read as consistent with the change operating through examination content rather than calendar time, not as a mediation estimate. P values were not adjusted for multiplicity.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had at least one and 59 had all three. The remaining 55 (11.8%) had none of the three, but none was operated on without imaging — the five with no in-hospital study each had imaging documented before transfer — and they were older and less often had volvulus than the imaged children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went to children with volvulus more often, its use rising from 13% to 48% of operated children between eras. Test sequence differed too — the UGI series was the last preoperative test in 75.1% of children who received it against 19.2% for CT, and its detection was higher in that position (80.4% vs 70.5%) — so it functioned as the confirmatory study before operation, a feature of the pathway rather than of the test.</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drawn from overlapping groups, not a ranking of the tests. CT and ultrasound had lower odds of a positive report than the UGI series in the GEE model, unchanged after adjustment for era and age; those coefficients absorb indication, pathway position and examination content (Online Resource 2). Tentative phrasing was most frequent for ultrasound (49.2% of its positive conclusions);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What the ultrasound examinations contained</w:t>
      </w:r>
    </w:p>
    <w:p>
      <w:pPr>
        <w:spacing w:after="160"/>
      </w:pPr>
      <w:r>
        <w:t>The central finding concerns the content of the 119 ultrasound index examinations (Table 3, Fig. 3). Three (2.5%; 95% CI 0.9–7.1) documented D3 or the duodenojejunal junction and seven (5.9%) mentioned the duodenum at all. Twelve (10.1%) addressed the mesenteric artery–vein relationship, and one stated explicitly that the vessels were inverted — although inversion was one of the two criteria defining a positive ultrasound. Enteric fluid administration was recorded twice, dynamic assessment three times and graded compression once, against colour Doppler in 116 (97.5%). By contrast, 58 (48.7%) reported a whirlpool or spiral appearance, and bowel gas limited 30 (25.2%).</w:t>
      </w:r>
    </w:p>
    <w:p>
      <w:pPr>
        <w:spacing w:after="160"/>
      </w:pPr>
      <w:r>
        <w:t>The three duodenal examinations show what the audit detects: in 2018 the horizontal duodenum was described passing anterior to the superior mesenteric artery after oral contrast; in 2022 it was followed between the artery and the aorta into the left upper abdomen with the duodenojejunal junction identified, the only examination resembling the published protocol; in 2024 it could not be filled and further imaging was advised.</w:t>
      </w:r>
    </w:p>
    <w:p>
      <w:pPr>
        <w:spacing w:after="160"/>
      </w:pPr>
      <w:r>
        <w:t>Detection followed this content closely. Ultrasound named malrotation in 58 of the 58 examinations reporting a whirlpool and in 7 of the 61 without one (11.5%, 95% CI 5.7–22.0). That contrast is in part definitional, because a whirlpool is itself one of the positivity criteria; all 58 of those conclusions named malrotation or volvulus outright. The informative half is the converse: a whirlpool was reported in only 58 of the 113 children (51.3%) whose operation confirmed midgut volvulus. Ten of the 12 examinations addressing the mesenteric vessels were positive, the exceptions being the two recording the vessel relationship as normal; detection was 46/67 for sessions including a great-vessel study against 19/52 for those without. The CT and UGI audits show the same principle with different content: a mesenteric whirl in 36.2% of CT examinations and the duodenojejunal junction in 51.2% of UGI examinations, each closely followed by detection (Online Resource 3).</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the change tracked how the examination was booked: sessions including a great-vessel study rose from 33.3% to 67.5%, and adding that indicator halved the era effect, from +20.2 to +10.3 percentage points, leaving the era odds ratio non-significant while the indicator itself carried an odds ratio of 3.35 (1.51–7.44). Moving the era boundary from 2019 to 2022 left the examination-type odds ratio between 3.07 and 3.85 (all p≤0.007) while the era odds ratio ranged from 2.82 to 1.25 and was non-significant after adjustment throughout (Online Resource 2). The booking shift tracked whirlpool reporting but not duodenal assessment. CT showed a comparable change that contrast enhancement explained only partly, and the UGI series, whose technique did not change, showed none (Table 4).</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The selected subgroup, and populations this cohort omits</w:t>
      </w:r>
    </w:p>
    <w:p>
      <w:pPr>
        <w:spacing w:after="160"/>
      </w:pPr>
      <w:r>
        <w:t>Fifty-nine children underwent all three modalities — not a random sample but a subgroup in whom the diagnosis had remained uncertain, more severely affected than the other 351 imaged children (96.6% vs 86.6% volvulus; 83.1% vs 65.5% neonates). The UGI series was positive in 76.3%, ultrasound in 52.5% and CT in 47.5% (Cochran's Q p=0.001), unchanged within 48 h or 24 h (Online Resource 2) — reporting within one selected subgroup, not accuracy. Only 6 of the 62 children (13.3%) with malrotation but no volvulus underwent ultrasound, so the cohort says little about the children in whom the ultrasound-first debate is most active.</w:t>
      </w:r>
    </w:p>
    <w:p>
      <w:pPr>
        <w:pStyle w:val="Heading1"/>
      </w:pPr>
      <w:r>
        <w:t>Discussion</w:t>
      </w:r>
    </w:p>
    <w:p>
      <w:pPr>
        <w:spacing w:after="160"/>
      </w:pPr>
      <w:r>
        <w:t>In 13.5 years of routine practice, ultrasound reports for children who proved to have intestinal malrotation almost never recorded the duodenal anatomy on which contemporary ultrasound accuracy depends: D3 or the duodenojejunal junction in three of 119 examinations, the mesenteric-vessel relationship in 12, enteric fluid administration in two. What the reports did contain was the whirlpool sign — in about half of all examinations, and in only about half of the children whose operation confirmed volvulus. Ultrasound here functioned as a test for midgut volvulus, and an imperfect one.</w:t>
      </w:r>
    </w:p>
    <w:p>
      <w:pPr>
        <w:spacing w:after="160"/>
      </w:pPr>
      <w:r>
        <w:t>This frames the most-cited number in our data. Ultrasound named malrotation in 54.6% of the surgically confirmed children who underwent it, against sensitivities of 93–97% in series of children investigated for suspicion [8, 9, 12, 19]. The two are not interchangeable — ours is conditioned on confirmed disease and on whatever indications selected these children, so the difference mixes case-mix with technique — but the audit shows the technique component to be real. The published figures came from examinations that assessed D3, the most accurate single sign in the 2025 multicentre series [12], and the duodenojejunal junction, often with enteric fluid, by readers alert to the diagnosis [18, 20, 21]; ours, on the evidence of their own reports, did not. The 2021 systematic review anticipated this, finding better performance where the mesenteric vessels and enteric fluid were used [8].</w:t>
      </w:r>
    </w:p>
    <w:p>
      <w:pPr>
        <w:spacing w:after="160"/>
      </w:pPr>
      <w:r>
        <w:t>The temporal analysis points the same way without settling it. Detection improved from 41% to 61%, but the improvement tracked what the examination was: adding the great-vessel indicator halved the era effect on the risk-difference scale and left it non-significant, whereas the examination-type effect was stable wherever the era boundary fell. Two cautions apply. The booking category was not randomised — a child suspected of volvulus is both more likely to be booked for a vessel study and more likely to have a whirlpool to find, so indication and technique cannot be separated; and attenuation of a conditional odds ratio is weak evidence by itself, which is why marginal effects are reported alongside. The department's own account is consistent: no equipment, staffing or protocol change, and growing awareness from about 2021 — awareness attached to the whirlpool sign rather than to duodenal anatomy, so even the improvement ran toward detecting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last before operation in 75% of children who received it. And the modalities were used in different children for different reasons (Table 1), which no adjustment can undo.</w:t>
      </w:r>
    </w:p>
    <w:p>
      <w:pPr>
        <w:spacing w:after="160"/>
      </w:pPr>
      <w:r>
        <w:t>Departments adopting an ultrasound-first pathway on the strength of 93–97% sensitivities should first establish that their own examinations resemble those that produced them. Awareness alone moved detection from 41% to 61% here but left the duodenal landmarks all but unexamined; a structured report requiring explicit statements about D3, the duodenojejunal junction, the vessel relationship and study adequacy would make that gap auditable. Where such an examination cannot be delivered, a negative ultrasound should not exclude malrotation in a child with persistent suspicion.</w:t>
      </w:r>
    </w:p>
    <w:p>
      <w:pPr>
        <w:pStyle w:val="Heading2"/>
      </w:pPr>
      <w:r>
        <w:t>Limitations</w:t>
      </w:r>
    </w:p>
    <w:p>
      <w:pPr>
        <w:spacing w:after="160"/>
      </w:pPr>
      <w:r>
        <w:t>This is not a diagnostic accuracy study: detection among surgically confirmed children who received a test does not transfer to children investigated for suspicion, in whom contemporary studies report far higher ultrasound performance [8, 12, 19]. The cohort is skewed toward severe neonatal disease and says little about older children with intermittent symptoms, incidental or non-volvulus malrotation, or stable outpatients. The 55 children without an index test were excluded from the denominators, an informative missingness of unknown direction. The volvulus definition accepted any documented degree of rotation: of the 327 children with a stated degree 308 had at least 360° and 19 had 90–270°, and restricting volvulus to the former moves its prevalence from 86.7% to 82.6% without changing a conclusion (Online Resource 2).</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 the boundary of the question rather than a defect in answering it, since the report is what the clinician acts on. Radiation dose could not be captured, and whether this centre's deficit generalises is unknown.</w:t>
      </w:r>
    </w:p>
    <w:p>
      <w:pPr>
        <w:pStyle w:val="Heading1"/>
      </w:pPr>
      <w:r>
        <w:t>Conclusion</w:t>
      </w:r>
    </w:p>
    <w:p>
      <w:pPr>
        <w:spacing w:after="160"/>
      </w:pPr>
      <w:r>
        <w:t>Routine ultrasound reports for children with surgically confirmed intestinal malrotation documented the duodenal landmarks that underpin contemporary ultrasound accuracy in under 3% of examinations, and named the diagnosis almost only when a whirlpool sign was reported, which happened in about half of the children whose operation confirmed volvulus. Ultrasound here was, in practice, a test for midgut volvulus rather than for malrotation. These rates establish no specificity, predictive value or ranking of the modalities and are no argument against ultrasound-first pathways; they argue that a department's own technique and reporting content decide whether published performance is achievable locally — measurable, and correctable, by audit.</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