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 report-level audit of 740 preoperative examinations in 465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Ultrasound whirlpool sign, n/N (%; 95% CI)</w:t>
            </w:r>
          </w:p>
        </w:tc>
        <w:tc>
          <w:tcPr>
            <w:tcW w:type="dxa" w:w="2340"/>
          </w:tcPr>
          <w:p>
            <w:r/>
            <w:r>
              <w:rPr>
                <w:rFonts w:ascii="Times New Roman" w:hAnsi="Times New Roman"/>
                <w:sz w:val="17"/>
              </w:rPr>
              <w:t>30/59 (50.8; 38.4–63.2)</w:t>
            </w:r>
          </w:p>
        </w:tc>
        <w:tc>
          <w:tcPr>
            <w:tcW w:type="dxa" w:w="2340"/>
          </w:tcPr>
          <w:p>
            <w:r/>
            <w:r>
              <w:rPr>
                <w:rFonts w:ascii="Times New Roman" w:hAnsi="Times New Roman"/>
                <w:sz w:val="17"/>
              </w:rPr>
              <w:t>27/47 (57.4; 43.3–70.5)</w:t>
            </w:r>
          </w:p>
        </w:tc>
        <w:tc>
          <w:tcPr>
            <w:tcW w:type="dxa" w:w="2340"/>
          </w:tcPr>
          <w:p>
            <w:r/>
            <w:r>
              <w:rPr>
                <w:rFonts w:ascii="Times New Roman" w:hAnsi="Times New Roman"/>
                <w:sz w:val="17"/>
              </w:rPr>
              <w:t>19/31 (61.3; 43.8–76.3)</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UGI contrast series</w:t>
            </w:r>
          </w:p>
        </w:tc>
        <w:tc>
          <w:tcPr>
            <w:tcW w:type="dxa" w:w="3120"/>
          </w:tcPr>
          <w:p>
            <w:r/>
            <w:r>
              <w:rPr>
                <w:rFonts w:ascii="Times New Roman" w:hAnsi="Times New Roman"/>
                <w:sz w:val="17"/>
              </w:rPr>
              <w:t>131/268</w:t>
            </w:r>
          </w:p>
        </w:tc>
        <w:tc>
          <w:tcPr>
            <w:tcW w:type="dxa" w:w="3120"/>
          </w:tcPr>
          <w:p>
            <w:r/>
            <w:r>
              <w:rPr>
                <w:rFonts w:ascii="Times New Roman" w:hAnsi="Times New Roman"/>
                <w:sz w:val="17"/>
              </w:rPr>
              <w:t>48.9 (43.0–54.8)</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59/113</w:t>
            </w:r>
          </w:p>
        </w:tc>
        <w:tc>
          <w:tcPr>
            <w:tcW w:type="dxa" w:w="3120"/>
          </w:tcPr>
          <w:p>
            <w:r/>
            <w:r>
              <w:rPr>
                <w:rFonts w:ascii="Times New Roman" w:hAnsi="Times New Roman"/>
                <w:sz w:val="17"/>
              </w:rPr>
              <w:t>52.2 (43.1–61.2)</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116/281</w:t>
            </w:r>
          </w:p>
        </w:tc>
        <w:tc>
          <w:tcPr>
            <w:tcW w:type="dxa" w:w="3120"/>
          </w:tcPr>
          <w:p>
            <w:r/>
            <w:r>
              <w:rPr>
                <w:rFonts w:ascii="Times New Roman" w:hAnsi="Times New Roman"/>
                <w:sz w:val="17"/>
              </w:rPr>
              <w:t>41.3 (35.7–47.1)</w:t>
            </w:r>
          </w:p>
        </w:tc>
      </w:tr>
    </w:tbl>
    <w:p>
      <w:pPr>
        <w:spacing w:after="160"/>
      </w:pPr>
    </w:p>
    <w:p>
      <w:pPr>
        <w:spacing w:after="160"/>
      </w:pPr>
      <w:r>
        <w:t>A volvulus-specific sign was defined as a whirlpool or corkscrew appearance, or an explicit report of a twist. In the subgroup of 57 children with confirmed volvulus who received all three examinations, ultrasound and the UGI series reported such a sign at similar rates and both numerically more often than CT, but no pairwise comparison was robust: under the pre-specified text definition used here, ultrasound versus CT gave p=0.13 and Cochran's Q p=0.12. An earlier version of this analysis, using a narrower sign definition, produced a nominally significant ultrasound-versus-CT difference (p=0.041). Because the result is sensitive to how the sign is defined, it is reported here as exploratory and no claim of a difference between modalities is made.</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p>
      <w:pPr>
        <w:pStyle w:val="Heading1"/>
      </w:pPr>
      <w:r>
        <w:t>S2.5 Robustness of the three analytic choices a reader is most likely to question</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and loses significance at 2021 and 2022; the examination-type effect is stable throughout (odds ratio 3.07–3.85, all p≤0.007) and the adjusted era term is non-significant at every boundary. The temporal claim in the manuscript therefore does not depend on where the boundary is placed, and the crude era difference by itself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3.35 (1.51–7.44), p=0.003</w:t>
            </w:r>
          </w:p>
        </w:tc>
        <w:tc>
          <w:tcPr>
            <w:tcW w:type="dxa" w:w="1337"/>
          </w:tcPr>
          <w:p>
            <w:r/>
            <w:r>
              <w:rPr>
                <w:rFonts w:ascii="Times New Roman" w:hAnsi="Times New Roman"/>
                <w:sz w:val="17"/>
              </w:rPr>
              <w:t>+20.2 → +10.3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48/75 (64.0%)</w:t>
            </w:r>
          </w:p>
        </w:tc>
        <w:tc>
          <w:tcPr>
            <w:tcW w:type="dxa" w:w="1337"/>
          </w:tcPr>
          <w:p>
            <w:r/>
            <w:r>
              <w:rPr>
                <w:rFonts w:ascii="Times New Roman" w:hAnsi="Times New Roman"/>
                <w:sz w:val="17"/>
              </w:rPr>
              <w:t>2.82 (1.31–6.09), p=0.008</w:t>
            </w:r>
          </w:p>
        </w:tc>
        <w:tc>
          <w:tcPr>
            <w:tcW w:type="dxa" w:w="1337"/>
          </w:tcPr>
          <w:p>
            <w:r/>
            <w:r>
              <w:rPr>
                <w:rFonts w:ascii="Times New Roman" w:hAnsi="Times New Roman"/>
                <w:sz w:val="17"/>
              </w:rPr>
              <w:t>1.92 (0.84–4.43), p=0.124</w:t>
            </w:r>
          </w:p>
        </w:tc>
        <w:tc>
          <w:tcPr>
            <w:tcW w:type="dxa" w:w="1337"/>
          </w:tcPr>
          <w:p>
            <w:r/>
            <w:r>
              <w:rPr>
                <w:rFonts w:ascii="Times New Roman" w:hAnsi="Times New Roman"/>
                <w:sz w:val="17"/>
              </w:rPr>
              <w:t>3.07 (1.36–6.90), p=0.007</w:t>
            </w:r>
          </w:p>
        </w:tc>
        <w:tc>
          <w:tcPr>
            <w:tcW w:type="dxa" w:w="1337"/>
          </w:tcPr>
          <w:p>
            <w:r/>
            <w:r>
              <w:rPr>
                <w:rFonts w:ascii="Times New Roman" w:hAnsi="Times New Roman"/>
                <w:sz w:val="17"/>
              </w:rPr>
              <w:t>+25.4 → +15.0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36/57 (63.2%)</w:t>
            </w:r>
          </w:p>
        </w:tc>
        <w:tc>
          <w:tcPr>
            <w:tcW w:type="dxa" w:w="1337"/>
          </w:tcPr>
          <w:p>
            <w:r/>
            <w:r>
              <w:rPr>
                <w:rFonts w:ascii="Times New Roman" w:hAnsi="Times New Roman"/>
                <w:sz w:val="17"/>
              </w:rPr>
              <w:t>1.95 (0.94–4.06), p=0.074</w:t>
            </w:r>
          </w:p>
        </w:tc>
        <w:tc>
          <w:tcPr>
            <w:tcW w:type="dxa" w:w="1337"/>
          </w:tcPr>
          <w:p>
            <w:r/>
            <w:r>
              <w:rPr>
                <w:rFonts w:ascii="Times New Roman" w:hAnsi="Times New Roman"/>
                <w:sz w:val="17"/>
              </w:rPr>
              <w:t>1.33 (0.60–2.96), p=0.487</w:t>
            </w:r>
          </w:p>
        </w:tc>
        <w:tc>
          <w:tcPr>
            <w:tcW w:type="dxa" w:w="1337"/>
          </w:tcPr>
          <w:p>
            <w:r/>
            <w:r>
              <w:rPr>
                <w:rFonts w:ascii="Times New Roman" w:hAnsi="Times New Roman"/>
                <w:sz w:val="17"/>
              </w:rPr>
              <w:t>3.47 (1.56–7.76), p=0.002</w:t>
            </w:r>
          </w:p>
        </w:tc>
        <w:tc>
          <w:tcPr>
            <w:tcW w:type="dxa" w:w="1337"/>
          </w:tcPr>
          <w:p>
            <w:r/>
            <w:r>
              <w:rPr>
                <w:rFonts w:ascii="Times New Roman" w:hAnsi="Times New Roman"/>
                <w:sz w:val="17"/>
              </w:rPr>
              <w:t>+16.4 → +6.4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25/43 (58.1%)</w:t>
            </w:r>
          </w:p>
        </w:tc>
        <w:tc>
          <w:tcPr>
            <w:tcW w:type="dxa" w:w="1337"/>
          </w:tcPr>
          <w:p>
            <w:r/>
            <w:r>
              <w:rPr>
                <w:rFonts w:ascii="Times New Roman" w:hAnsi="Times New Roman"/>
                <w:sz w:val="17"/>
              </w:rPr>
              <w:t>1.25 (0.59–2.66), p=0.562</w:t>
            </w:r>
          </w:p>
        </w:tc>
        <w:tc>
          <w:tcPr>
            <w:tcW w:type="dxa" w:w="1337"/>
          </w:tcPr>
          <w:p>
            <w:r/>
            <w:r>
              <w:rPr>
                <w:rFonts w:ascii="Times New Roman" w:hAnsi="Times New Roman"/>
                <w:sz w:val="17"/>
              </w:rPr>
              <w:t>0.94 (0.42–2.12), p=0.886</w:t>
            </w:r>
          </w:p>
        </w:tc>
        <w:tc>
          <w:tcPr>
            <w:tcW w:type="dxa" w:w="1337"/>
          </w:tcPr>
          <w:p>
            <w:r/>
            <w:r>
              <w:rPr>
                <w:rFonts w:ascii="Times New Roman" w:hAnsi="Times New Roman"/>
                <w:sz w:val="17"/>
              </w:rPr>
              <w:t>3.85 (1.76–8.43), p=0.001</w:t>
            </w:r>
          </w:p>
        </w:tc>
        <w:tc>
          <w:tcPr>
            <w:tcW w:type="dxa" w:w="1337"/>
          </w:tcPr>
          <w:p>
            <w:r/>
            <w:r>
              <w:rPr>
                <w:rFonts w:ascii="Times New Roman" w:hAnsi="Times New Roman"/>
                <w:sz w:val="17"/>
              </w:rPr>
              <w:t>+5.5 → -1.3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roughly half of the era difference at each boundary, not all of it.</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327 children with a stated degree, 308 had a rotation of at least 360° and 19 had 90–270°. Table S10 shows the effect of restricting volvulus to the former.</w:t>
      </w:r>
    </w:p>
    <w:p>
      <w:pPr>
        <w:spacing w:after="160"/>
      </w:pPr>
      <w:r>
        <w:rPr>
          <w:b/>
        </w:rPr>
        <w:t>Table S10. Prevalence of midgut volvulus under the primary and the restricted definition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Definition of midgut volvulus</w:t>
            </w:r>
          </w:p>
        </w:tc>
        <w:tc>
          <w:tcPr>
            <w:tcW w:type="dxa" w:w="3120"/>
          </w:tcPr>
          <w:p>
            <w:r/>
            <w:r>
              <w:rPr>
                <w:rFonts w:ascii="Times New Roman" w:hAnsi="Times New Roman"/>
                <w:b/>
                <w:sz w:val="17"/>
              </w:rPr>
              <w:t>Whole cohort (n=465)</w:t>
            </w:r>
          </w:p>
        </w:tc>
        <w:tc>
          <w:tcPr>
            <w:tcW w:type="dxa" w:w="3120"/>
          </w:tcPr>
          <w:p>
            <w:r/>
            <w:r>
              <w:rPr>
                <w:rFonts w:ascii="Times New Roman" w:hAnsi="Times New Roman"/>
                <w:b/>
                <w:sz w:val="17"/>
              </w:rPr>
              <w:t>Children who underwent ultrasound (n=119)</w:t>
            </w:r>
          </w:p>
        </w:tc>
      </w:tr>
      <w:tr>
        <w:tc>
          <w:tcPr>
            <w:tcW w:type="dxa" w:w="3120"/>
          </w:tcPr>
          <w:p>
            <w:r/>
            <w:r>
              <w:rPr>
                <w:rFonts w:ascii="Times New Roman" w:hAnsi="Times New Roman"/>
                <w:sz w:val="17"/>
              </w:rPr>
              <w:t>Explicit operative statement of torsion, or any documented degree of rotation (primary)</w:t>
            </w:r>
          </w:p>
        </w:tc>
        <w:tc>
          <w:tcPr>
            <w:tcW w:type="dxa" w:w="3120"/>
          </w:tcPr>
          <w:p>
            <w:r/>
            <w:r>
              <w:rPr>
                <w:rFonts w:ascii="Times New Roman" w:hAnsi="Times New Roman"/>
                <w:sz w:val="17"/>
              </w:rPr>
              <w:t>403 (86.7%)</w:t>
            </w:r>
          </w:p>
        </w:tc>
        <w:tc>
          <w:tcPr>
            <w:tcW w:type="dxa" w:w="3120"/>
          </w:tcPr>
          <w:p>
            <w:r/>
            <w:r>
              <w:rPr>
                <w:rFonts w:ascii="Times New Roman" w:hAnsi="Times New Roman"/>
                <w:sz w:val="17"/>
              </w:rPr>
              <w:t>113 (95.0%)</w:t>
            </w:r>
          </w:p>
        </w:tc>
      </w:tr>
      <w:tr>
        <w:tc>
          <w:tcPr>
            <w:tcW w:type="dxa" w:w="3120"/>
          </w:tcPr>
          <w:p>
            <w:r/>
            <w:r>
              <w:rPr>
                <w:rFonts w:ascii="Times New Roman" w:hAnsi="Times New Roman"/>
                <w:sz w:val="17"/>
              </w:rPr>
              <w:t>Restricted to a documented rotation of 360° or more</w:t>
            </w:r>
          </w:p>
        </w:tc>
        <w:tc>
          <w:tcPr>
            <w:tcW w:type="dxa" w:w="3120"/>
          </w:tcPr>
          <w:p>
            <w:r/>
            <w:r>
              <w:rPr>
                <w:rFonts w:ascii="Times New Roman" w:hAnsi="Times New Roman"/>
                <w:sz w:val="17"/>
              </w:rPr>
              <w:t>384 (82.6%)</w:t>
            </w:r>
          </w:p>
        </w:tc>
        <w:tc>
          <w:tcPr>
            <w:tcW w:type="dxa" w:w="3120"/>
          </w:tcPr>
          <w:p>
            <w:r/>
            <w:r>
              <w:rPr>
                <w:rFonts w:ascii="Times New Roman" w:hAnsi="Times New Roman"/>
                <w:sz w:val="17"/>
              </w:rPr>
              <w:t>104 (87.4%)</w:t>
            </w:r>
          </w:p>
        </w:tc>
      </w:tr>
    </w:tbl>
    <w:p>
      <w:pPr>
        <w:spacing w:after="160"/>
      </w:pPr>
    </w:p>
    <w:p>
      <w:pPr>
        <w:spacing w:after="160"/>
      </w:pPr>
      <w:r>
        <w:t>Restricting the definition lowers volvulus prevalence from 86.7% to 82.6% in the cohort and from 95.0% to 87.4% among the children who underwent ultrasound. It does not change the manuscript's claims: the whirlpool sign remains documented in about half of the children with confirmed volvulus under either definition, and the group with malrotation but no volvulus remains too small for any conclusion about ultrasound in uncomplicated malrotation.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