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an audit of 740 preoperative index examinations in 410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were obtained under favourable conditions, whereas clinical decisions rest on the routine report issued during unselected care. To our knowledge, no study has examined at scale what such reports contain.</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7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61% across the study period, and the change tracked how the examination was booked. Adjusting for a shift towards sessions that included an abdominal great-vessel study reduced the era effect from +20.2 to +10.3 percentage points, an interval that includes zero, while the booking indicator carried an odds ratio of 3.35. Booking category was not randomised and indication cannot be separated from technique in these data, so the analysis bounds the era contribution rather than removing it. The department's account is consistent: no change of equipment, staffing or protocol over the period, and growing awareness from about 2021 attached to the whirlpool sign rather than to duodenal anatomy, so that detection rose while duodenal documentation did not. The gap between published and delivered ultrasound performance therefore lies in technique and reporting, which an audit can measure.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Our recommendation is that a department audit its own reports before assuming that the published figures apply locally, and that a structured malrotation ultrasound report offers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wherever routine reports are stored electronically.</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