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2,990 (Introduction through Take-Home Points; excluding abstract, references, tables and figure legends). Abstract: 245 words.</w:t>
      </w:r>
    </w:p>
    <w:p>
      <w:pPr>
        <w:spacing w:after="160"/>
      </w:pPr>
      <w:r>
        <w:rPr>
          <w:b/>
        </w:rPr>
        <w:t>Tables:</w:t>
      </w:r>
      <w:r>
        <w:t xml:space="preserve"> 4  |  </w:t>
      </w:r>
      <w:r>
        <w:rPr>
          <w:b/>
        </w:rPr>
        <w:t>Figures:</w:t>
      </w:r>
      <w:r>
        <w:t xml:space="preserve"> 3  |  </w:t>
      </w:r>
      <w:r>
        <w:rPr>
          <w:b/>
        </w:rPr>
        <w:t>Supplemental material:</w:t>
      </w:r>
      <w:r>
        <w:t xml:space="preserve"> Supplements 1–3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Funding:</w:t>
      </w:r>
      <w:r>
        <w:t xml:space="preserve"> This research received no specific grant from any funding agency in the public, commercial, or not-for-profit sectors.</w:t>
      </w:r>
    </w:p>
    <w:p>
      <w:pPr>
        <w:spacing w:after="160"/>
      </w:pPr>
      <w:r>
        <w:rPr>
          <w:b/>
        </w:rPr>
        <w:t>Declaration of competing interest:</w:t>
      </w:r>
      <w:r>
        <w:t xml:space="preserve"> The authors declare that they have no known competing financial interests or personal relationships that could have appeared to influence the work reported in this paper. The corresponding author's statement generated with the Elsevier Declarations tool is uploaded separately.</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w:t>
      </w:r>
      <w:r>
        <w:t xml:space="preserve"> JS and JY conceived and designed the study. JS, FP, KZ and HL acquired the clinical and operative data. ZM contributed radiological expertise on ultrasound practice and reporting at the study institution. JY performed the blinded adjudication of the report labels. JS and HB analyzed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