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t>[Masked manuscript. Author names, affiliations and corresponding-author details are provided on the separate title page.]</w:t>
      </w:r>
    </w:p>
    <w:p>
      <w:pPr>
        <w:spacing w:after="160"/>
      </w:pPr>
      <w:r>
        <w:t>Word count: 2,990 (Introduction through Take-Home Points; excluding abstract, references, tables and figure legends); Tables: 4; Figures: 3; Supplemental material: Supplements 1–3</w:t>
      </w:r>
    </w:p>
    <w:p>
      <w:pPr>
        <w:pStyle w:val="Heading1"/>
      </w:pPr>
      <w:r>
        <w:t>Abstract</w:t>
      </w:r>
    </w:p>
    <w:p>
      <w:pPr>
        <w:spacing w:after="160"/>
      </w:pPr>
      <w:r>
        <w:rPr>
          <w:b/>
        </w:rPr>
        <w:t>Objective:</w:t>
      </w:r>
      <w:r>
        <w:t xml:space="preserve"> Ultrasound is increasingly advocated as first-line for suspected intestinal malrotation, based on sensitivities of 93–97%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 great-vessel sessions reduced the difference from +19.0 to +8.2 percentage points, an interval including zero.</w:t>
      </w:r>
    </w:p>
    <w:p>
      <w:pPr>
        <w:spacing w:after="160"/>
      </w:pPr>
      <w:r>
        <w:rPr>
          <w:b/>
        </w:rPr>
        <w:t>Conclusion:</w:t>
      </w:r>
      <w:r>
        <w:t xml:space="preserve"> Routine ultrasound functioned as a whirlpool-dependent test for volvulus rather than a protocolized assessment of duodenal position. Whether the missing elements would close the gap to published performance cannot be tested here, but the deficit is measurable.</w:t>
      </w:r>
    </w:p>
    <w:p>
      <w:pPr>
        <w:spacing w:after="160"/>
      </w:pPr>
      <w:r>
        <w:rPr>
          <w:b/>
        </w:rPr>
        <w:t>Keywords:</w:t>
      </w:r>
      <w:r>
        <w:t xml:space="preserve"> Intestinal malrotation; Intestinal volvulus; Infant, Newborn; Ultrasonography; Radiology report</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 ultrasound: series report sensitivities of 93–97% under dedicated protocols, a systematic review of 17 studies and 2,257 children estimated a pooled sensitivity of 94% [11–13], and a single-center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Supplement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(Figure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cecal position and bedside performance; for CT and the UGI series, the corresponding landmarks (Supplement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Supplement 1. A pediatric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returning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penalized estimate of the separated contrast are given in Supplement 2 [23, 24]. In the subgroup that underwent all three modalities, detection was compared using Cochran's Q, the exact McNemar test and paired differences with bootstrap CIs (Supplement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Figure 1).</w:t>
      </w:r>
    </w:p>
    <w:p>
      <w:pPr>
        <w:spacing w:after="160"/>
      </w:pPr>
      <w:r>
        <w:rPr>
          <w:b/>
        </w:rPr>
        <w:t>Table 1. Characteristics of the 465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(7–85)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(8–35)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(5–27)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 (4–932)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302 (64.9)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216 (71.8)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222 (69.4)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93 (20.0)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 (15.0)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 (16.9)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(12.6)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 (29.1)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352 (75.7)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226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250 (78.1)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94 (79.0)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 (70.9)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(35.7)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96 (31.9)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105 (32.8)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80 (67.2)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(34.5)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403 (86.7)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268 (89.0)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(87.8)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(76.4)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441 (94.8)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288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308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50 (90.9)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219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(55.1)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165 (51.6)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183 (39.4)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 (39.5)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137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(47.9)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 (43.6)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(24.3)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88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 (26.9)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(20.0)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72 (15.5)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33 (11.0)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 (14.4)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(23.6)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221 (47.5)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152 (50.5)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148 (46.2)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53 (44.5)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 (38.2)</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(Figure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169/320 (52.8%, 47.3–58.2) for CT and 64/119 (53.8%, 44.8–62.5) for ultrasound (Table 2, Figure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(Supplement 2). Reclassifying possible-tier conclusions as negative reduced detection to 51.2%, 33.4% and 26.9% (Table 2).</w:t>
      </w:r>
    </w:p>
    <w:p>
      <w:pPr>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78.7 (73.8–83.0)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 (32.1)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 (35.0)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52.8 (47.3–58.2)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 (19.5)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 (43.8)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53.8 (44.8–62.5)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42/52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80.8 (68.1–89.2)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127/268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47.4 (41.5–53.4)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Figure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(n=80)</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62/116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10/12 (83%)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54/107 (50%)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63/117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60/114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116 (97.5)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58/58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6/61 (10%)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(25.2)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12/30 (40%)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52/89 (58%)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(56.3)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18/52 (35%)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75 (63.0)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37/75 (49%)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57/107 (53%)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(Supplement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(Supplement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158/205 (77.1%)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79/96 (82.3%)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1.38 (0.75–2.56), p=0.304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69/105 (65.7%)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2.20 (1.36–3.58),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1.95 (1.19–3.22), p=0.009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4.21 (2.01–8.81),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+19.2 → +15.5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16/39 (41.0%)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48/80 (60.0%)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3.73 (1.67–8.33), p=0.001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randomized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Supplement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(Supplement 2). These comparisons describe reporting within one selected subgroup and are not measures of accuracy. Only 6 of the 62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53.8% of the surgically confirmed children who underwent ultrasound, compared with 93% (original reports) and 97% (blinded review) in the 2025 multicenter series, which excluded non-diagnostic and equivocal examinations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multicenter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randomized,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(Supplement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center generalizes is unknown.</w:t>
      </w:r>
    </w:p>
    <w:p>
      <w:pPr>
        <w:pStyle w:val="Heading1"/>
      </w:pPr>
      <w:r>
        <w:t>Take-Home Points</w:t>
      </w:r>
    </w:p>
    <w:p>
      <w:pPr>
        <w:spacing w:after="160"/>
      </w:pPr>
      <w:r>
        <w:t>• Routine ultrasound reports for children with surgically confirmed malrotation documented the duodenal landmarks underpinning published accuracy in 2.5% of examinations and reported the diagnosis almost only when a whirlpool sign was present.</w:t>
      </w:r>
    </w:p>
    <w:p>
      <w:pPr>
        <w:spacing w:after="160"/>
      </w:pPr>
      <w:r>
        <w:t>• In practice, routine ultrasound served as a test for volvulus rather than for malrotation: a whirlpool sign was recorded in only 58 of 113 children in whom operation confirmed volvulus.</w:t>
      </w:r>
    </w:p>
    <w:p>
      <w:pPr>
        <w:spacing w:after="160"/>
      </w:pPr>
      <w:r>
        <w:t>• These are report-level detection rates among surgically confirmed children, not sensitivities; they establish no specificity, predictive value or ranking of modalities, and are no argument against ultrasound-first pathways.</w:t>
      </w:r>
    </w:p>
    <w:p>
      <w:pPr>
        <w:spacing w:after="160"/>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pPr>
      <w:r>
        <w:rPr>
          <w:b/>
        </w:rPr>
        <w:t>Supplement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(`Supplement_1_classifier.py`), which reproduces 98.9% of the final labels. That figure measures agreement between the published code and the labels used here; the 92% above measures agreement between the algorithm and the blinded adjudicator.</w:t>
      </w:r>
    </w:p>
    <w:p>
      <w:pPr>
        <w:spacing w:after="160"/>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Supplement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w:t>
      </w:r>
    </w:p>
    <w:p>
      <w:pPr>
        <w:pStyle w:val="Heading1"/>
      </w:pPr>
      <w:r>
        <w:t>References</w:t>
      </w:r>
    </w:p>
    <w:p>
      <w:pPr>
        <w:spacing w:after="60"/>
      </w:pPr>
      <w:r>
        <w:rPr>
          <w:sz w:val="20"/>
        </w:rPr>
        <w:t xml:space="preserve">1. Marine MB, Karmazyn B. Imaging of malrotation in the neonate. </w:t>
      </w:r>
      <w:r>
        <w:rPr>
          <w:i/>
          <w:sz w:val="20"/>
        </w:rPr>
        <w:t>Semin Ultrasound CT MR</w:t>
      </w:r>
      <w:r>
        <w:rPr>
          <w:sz w:val="20"/>
        </w:rPr>
        <w:t>. 2014;35:555-570. doi:10.1053/j.sult.2014.08.004</w:t>
      </w:r>
    </w:p>
    <w:p>
      <w:pPr>
        <w:spacing w:after="60"/>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pPr>
      <w:r>
        <w:rPr>
          <w:sz w:val="20"/>
        </w:rPr>
        <w:t xml:space="preserve">22. Zeger SL, Liang KY. Longitudinal data analysis for discrete and continuous outcomes. </w:t>
      </w:r>
      <w:r>
        <w:rPr>
          <w:i/>
          <w:sz w:val="20"/>
        </w:rPr>
        <w:t>Biometrics</w:t>
      </w:r>
      <w:r>
        <w:rPr>
          <w:sz w:val="20"/>
        </w:rPr>
        <w:t>. 1986;42:121-130. doi:10.2307/2531248</w:t>
      </w:r>
    </w:p>
    <w:p>
      <w:pPr>
        <w:spacing w:after="60"/>
      </w:pPr>
      <w:r>
        <w:rPr>
          <w:sz w:val="20"/>
        </w:rPr>
        <w:t xml:space="preserve">23. Firth D. Bias reduction of maximum likelihood estimates. </w:t>
      </w:r>
      <w:r>
        <w:rPr>
          <w:i/>
          <w:sz w:val="20"/>
        </w:rPr>
        <w:t>Biometrika</w:t>
      </w:r>
      <w:r>
        <w:rPr>
          <w:sz w:val="20"/>
        </w:rPr>
        <w:t>. 1993;80:27-38. doi:10.1093/biomet/80.1.27</w:t>
      </w:r>
    </w:p>
    <w:p>
      <w:pPr>
        <w:spacing w:after="60"/>
      </w:pPr>
      <w:r>
        <w:rPr>
          <w:sz w:val="20"/>
        </w:rPr>
        <w:t xml:space="preserve">24. Heinze G, Schemper M. A solution to the problem of separation in logistic regression. </w:t>
      </w:r>
      <w:r>
        <w:rPr>
          <w:i/>
          <w:sz w:val="20"/>
        </w:rPr>
        <w:t>Stat Med</w:t>
      </w:r>
      <w:r>
        <w:rPr>
          <w:sz w:val="20"/>
        </w:rPr>
        <w:t>. 2002;21:2409-2419. doi:10.1002/sim.1047</w:t>
      </w:r>
    </w:p>
    <w:p>
      <w:pPr>
        <w:pStyle w:val="Heading1"/>
      </w:pPr>
      <w:r>
        <w:t>Figure legends</w:t>
      </w:r>
    </w:p>
    <w:p>
      <w:pPr>
        <w:spacing w:after="160"/>
      </w:pPr>
      <w:r>
        <w:rPr>
          <w:b/>
        </w:rPr>
        <w:t>Figure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Figure 3. Ultrasound examination content and detection conditional on that content.</w:t>
      </w:r>
      <w:r>
        <w:t xml:space="preserve"> A, Documented content of the 119 ultrasound index examinations.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