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i w:val="0"/>
        </w:rPr>
        <w:t>Online Resource 2. Report-level detection stratified by midgut volvulus and by age, and detection of a volvulus-specific sign</w:t>
      </w:r>
    </w:p>
    <w:p>
      <w:pPr>
        <w:spacing w:after="160"/>
      </w:pPr>
      <w:r>
        <w:rPr>
          <w:i w:val="0"/>
        </w:rPr>
        <w:t>Supplement to: "Routine ultrasound reports for intestinal malrotation rarely document duodenal landmarks: a report-level audit of 740 preoperative examinations in 465 surgically confirmed children"</w:t>
      </w:r>
    </w:p>
    <w:p>
      <w:pPr>
        <w:pStyle w:val="Heading1"/>
      </w:pPr>
      <w:r>
        <w:t>S2.1 Detection stratified by midgut volvulus and by age category</w:t>
      </w:r>
    </w:p>
    <w:p>
      <w:pPr>
        <w:spacing w:after="160"/>
      </w:pPr>
      <w:r>
        <w:rPr>
          <w:b/>
          <w:i w:val="0"/>
        </w:rPr>
        <w:t>Table S3. Report-level detection stratified by midgut volvulus and by age category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7"/>
              </w:rPr>
              <w:t>Index test</w:t>
            </w:r>
          </w:p>
        </w:tc>
        <w:tc>
          <w:tcPr>
            <w:tcW w:type="dxa" w:w="2340"/>
          </w:tcPr>
          <w:p>
            <w:r/>
            <w:r>
              <w:rPr>
                <w:rFonts w:ascii="Times New Roman" w:hAnsi="Times New Roman"/>
                <w:b/>
                <w:sz w:val="17"/>
              </w:rPr>
              <w:t>Stratum</w:t>
            </w:r>
          </w:p>
        </w:tc>
        <w:tc>
          <w:tcPr>
            <w:tcW w:type="dxa" w:w="2340"/>
          </w:tcPr>
          <w:p>
            <w:r/>
            <w:r>
              <w:rPr>
                <w:rFonts w:ascii="Times New Roman" w:hAnsi="Times New Roman"/>
                <w:b/>
                <w:sz w:val="17"/>
              </w:rPr>
              <w:t>Detected / total</w:t>
            </w:r>
          </w:p>
        </w:tc>
        <w:tc>
          <w:tcPr>
            <w:tcW w:type="dxa" w:w="2340"/>
          </w:tcPr>
          <w:p>
            <w:r/>
            <w:r>
              <w:rPr>
                <w:rFonts w:ascii="Times New Roman" w:hAnsi="Times New Roman"/>
                <w:b/>
                <w:sz w:val="17"/>
              </w:rPr>
              <w:t>Detection rate % (95% CI)</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Midgut volvulus present</w:t>
            </w:r>
          </w:p>
        </w:tc>
        <w:tc>
          <w:tcPr>
            <w:tcW w:type="dxa" w:w="2340"/>
          </w:tcPr>
          <w:p>
            <w:r/>
            <w:r>
              <w:rPr>
                <w:rFonts w:ascii="Times New Roman" w:hAnsi="Times New Roman"/>
                <w:sz w:val="17"/>
              </w:rPr>
              <w:t>212/268</w:t>
            </w:r>
          </w:p>
        </w:tc>
        <w:tc>
          <w:tcPr>
            <w:tcW w:type="dxa" w:w="2340"/>
          </w:tcPr>
          <w:p>
            <w:r/>
            <w:r>
              <w:rPr>
                <w:rFonts w:ascii="Times New Roman" w:hAnsi="Times New Roman"/>
                <w:sz w:val="17"/>
              </w:rPr>
              <w:t>79.1 (73.8–83.5)</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Midgut volvulus absent</w:t>
            </w:r>
          </w:p>
        </w:tc>
        <w:tc>
          <w:tcPr>
            <w:tcW w:type="dxa" w:w="2340"/>
          </w:tcPr>
          <w:p>
            <w:r/>
            <w:r>
              <w:rPr>
                <w:rFonts w:ascii="Times New Roman" w:hAnsi="Times New Roman"/>
                <w:sz w:val="17"/>
              </w:rPr>
              <w:t>25/33</w:t>
            </w:r>
          </w:p>
        </w:tc>
        <w:tc>
          <w:tcPr>
            <w:tcW w:type="dxa" w:w="2340"/>
          </w:tcPr>
          <w:p>
            <w:r/>
            <w:r>
              <w:rPr>
                <w:rFonts w:ascii="Times New Roman" w:hAnsi="Times New Roman"/>
                <w:sz w:val="17"/>
              </w:rPr>
              <w:t>75.8 (59.0–87.2)</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Age ≤28 days</w:t>
            </w:r>
          </w:p>
        </w:tc>
        <w:tc>
          <w:tcPr>
            <w:tcW w:type="dxa" w:w="2340"/>
          </w:tcPr>
          <w:p>
            <w:r/>
            <w:r>
              <w:rPr>
                <w:rFonts w:ascii="Times New Roman" w:hAnsi="Times New Roman"/>
                <w:sz w:val="17"/>
              </w:rPr>
              <w:t>164/216</w:t>
            </w:r>
          </w:p>
        </w:tc>
        <w:tc>
          <w:tcPr>
            <w:tcW w:type="dxa" w:w="2340"/>
          </w:tcPr>
          <w:p>
            <w:r/>
            <w:r>
              <w:rPr>
                <w:rFonts w:ascii="Times New Roman" w:hAnsi="Times New Roman"/>
                <w:sz w:val="17"/>
              </w:rPr>
              <w:t>75.9 (69.8–81.1)</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Age 29 days–1 year</w:t>
            </w:r>
          </w:p>
        </w:tc>
        <w:tc>
          <w:tcPr>
            <w:tcW w:type="dxa" w:w="2340"/>
          </w:tcPr>
          <w:p>
            <w:r/>
            <w:r>
              <w:rPr>
                <w:rFonts w:ascii="Times New Roman" w:hAnsi="Times New Roman"/>
                <w:sz w:val="17"/>
              </w:rPr>
              <w:t>32/40</w:t>
            </w:r>
          </w:p>
        </w:tc>
        <w:tc>
          <w:tcPr>
            <w:tcW w:type="dxa" w:w="2340"/>
          </w:tcPr>
          <w:p>
            <w:r/>
            <w:r>
              <w:rPr>
                <w:rFonts w:ascii="Times New Roman" w:hAnsi="Times New Roman"/>
                <w:sz w:val="17"/>
              </w:rPr>
              <w:t>80.0 (65.2–89.5)</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Age &gt;1 year</w:t>
            </w:r>
          </w:p>
        </w:tc>
        <w:tc>
          <w:tcPr>
            <w:tcW w:type="dxa" w:w="2340"/>
          </w:tcPr>
          <w:p>
            <w:r/>
            <w:r>
              <w:rPr>
                <w:rFonts w:ascii="Times New Roman" w:hAnsi="Times New Roman"/>
                <w:sz w:val="17"/>
              </w:rPr>
              <w:t>41/45</w:t>
            </w:r>
          </w:p>
        </w:tc>
        <w:tc>
          <w:tcPr>
            <w:tcW w:type="dxa" w:w="2340"/>
          </w:tcPr>
          <w:p>
            <w:r/>
            <w:r>
              <w:rPr>
                <w:rFonts w:ascii="Times New Roman" w:hAnsi="Times New Roman"/>
                <w:sz w:val="17"/>
              </w:rPr>
              <w:t>91.1 (79.3–96.5)</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Midgut volvulus present</w:t>
            </w:r>
          </w:p>
        </w:tc>
        <w:tc>
          <w:tcPr>
            <w:tcW w:type="dxa" w:w="2340"/>
          </w:tcPr>
          <w:p>
            <w:r/>
            <w:r>
              <w:rPr>
                <w:rFonts w:ascii="Times New Roman" w:hAnsi="Times New Roman"/>
                <w:sz w:val="17"/>
              </w:rPr>
              <w:t>149/281</w:t>
            </w:r>
          </w:p>
        </w:tc>
        <w:tc>
          <w:tcPr>
            <w:tcW w:type="dxa" w:w="2340"/>
          </w:tcPr>
          <w:p>
            <w:r/>
            <w:r>
              <w:rPr>
                <w:rFonts w:ascii="Times New Roman" w:hAnsi="Times New Roman"/>
                <w:sz w:val="17"/>
              </w:rPr>
              <w:t>53.0 (47.2–58.8)</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Midgut volvulus absent</w:t>
            </w:r>
          </w:p>
        </w:tc>
        <w:tc>
          <w:tcPr>
            <w:tcW w:type="dxa" w:w="2340"/>
          </w:tcPr>
          <w:p>
            <w:r/>
            <w:r>
              <w:rPr>
                <w:rFonts w:ascii="Times New Roman" w:hAnsi="Times New Roman"/>
                <w:sz w:val="17"/>
              </w:rPr>
              <w:t>22/39</w:t>
            </w:r>
          </w:p>
        </w:tc>
        <w:tc>
          <w:tcPr>
            <w:tcW w:type="dxa" w:w="2340"/>
          </w:tcPr>
          <w:p>
            <w:r/>
            <w:r>
              <w:rPr>
                <w:rFonts w:ascii="Times New Roman" w:hAnsi="Times New Roman"/>
                <w:sz w:val="17"/>
              </w:rPr>
              <w:t>56.4 (41.0–70.7)</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Age ≤28 days</w:t>
            </w:r>
          </w:p>
        </w:tc>
        <w:tc>
          <w:tcPr>
            <w:tcW w:type="dxa" w:w="2340"/>
          </w:tcPr>
          <w:p>
            <w:r/>
            <w:r>
              <w:rPr>
                <w:rFonts w:ascii="Times New Roman" w:hAnsi="Times New Roman"/>
                <w:sz w:val="17"/>
              </w:rPr>
              <w:t>103/222</w:t>
            </w:r>
          </w:p>
        </w:tc>
        <w:tc>
          <w:tcPr>
            <w:tcW w:type="dxa" w:w="2340"/>
          </w:tcPr>
          <w:p>
            <w:r/>
            <w:r>
              <w:rPr>
                <w:rFonts w:ascii="Times New Roman" w:hAnsi="Times New Roman"/>
                <w:sz w:val="17"/>
              </w:rPr>
              <w:t>46.4 (40.0–53.0)</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Age 29 days–1 year</w:t>
            </w:r>
          </w:p>
        </w:tc>
        <w:tc>
          <w:tcPr>
            <w:tcW w:type="dxa" w:w="2340"/>
          </w:tcPr>
          <w:p>
            <w:r/>
            <w:r>
              <w:rPr>
                <w:rFonts w:ascii="Times New Roman" w:hAnsi="Times New Roman"/>
                <w:sz w:val="17"/>
              </w:rPr>
              <w:t>22/44</w:t>
            </w:r>
          </w:p>
        </w:tc>
        <w:tc>
          <w:tcPr>
            <w:tcW w:type="dxa" w:w="2340"/>
          </w:tcPr>
          <w:p>
            <w:r/>
            <w:r>
              <w:rPr>
                <w:rFonts w:ascii="Times New Roman" w:hAnsi="Times New Roman"/>
                <w:sz w:val="17"/>
              </w:rPr>
              <w:t>50.0 (35.8–64.2)</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Age &gt;1 year</w:t>
            </w:r>
          </w:p>
        </w:tc>
        <w:tc>
          <w:tcPr>
            <w:tcW w:type="dxa" w:w="2340"/>
          </w:tcPr>
          <w:p>
            <w:r/>
            <w:r>
              <w:rPr>
                <w:rFonts w:ascii="Times New Roman" w:hAnsi="Times New Roman"/>
                <w:sz w:val="17"/>
              </w:rPr>
              <w:t>46/54</w:t>
            </w:r>
          </w:p>
        </w:tc>
        <w:tc>
          <w:tcPr>
            <w:tcW w:type="dxa" w:w="2340"/>
          </w:tcPr>
          <w:p>
            <w:r/>
            <w:r>
              <w:rPr>
                <w:rFonts w:ascii="Times New Roman" w:hAnsi="Times New Roman"/>
                <w:sz w:val="17"/>
              </w:rPr>
              <w:t>85.2 (73.4–92.3)</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Midgut volvulus present</w:t>
            </w:r>
          </w:p>
        </w:tc>
        <w:tc>
          <w:tcPr>
            <w:tcW w:type="dxa" w:w="2340"/>
          </w:tcPr>
          <w:p>
            <w:r/>
            <w:r>
              <w:rPr>
                <w:rFonts w:ascii="Times New Roman" w:hAnsi="Times New Roman"/>
                <w:sz w:val="17"/>
              </w:rPr>
              <w:t>65/113</w:t>
            </w:r>
          </w:p>
        </w:tc>
        <w:tc>
          <w:tcPr>
            <w:tcW w:type="dxa" w:w="2340"/>
          </w:tcPr>
          <w:p>
            <w:r/>
            <w:r>
              <w:rPr>
                <w:rFonts w:ascii="Times New Roman" w:hAnsi="Times New Roman"/>
                <w:sz w:val="17"/>
              </w:rPr>
              <w:t>57.5 (48.3–66.2)</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Midgut volvulus absent</w:t>
            </w:r>
          </w:p>
        </w:tc>
        <w:tc>
          <w:tcPr>
            <w:tcW w:type="dxa" w:w="2340"/>
          </w:tcPr>
          <w:p>
            <w:r/>
            <w:r>
              <w:rPr>
                <w:rFonts w:ascii="Times New Roman" w:hAnsi="Times New Roman"/>
                <w:sz w:val="17"/>
              </w:rPr>
              <w:t>0/6</w:t>
            </w:r>
          </w:p>
        </w:tc>
        <w:tc>
          <w:tcPr>
            <w:tcW w:type="dxa" w:w="2340"/>
          </w:tcPr>
          <w:p>
            <w:r/>
            <w:r>
              <w:rPr>
                <w:rFonts w:ascii="Times New Roman" w:hAnsi="Times New Roman"/>
                <w:sz w:val="17"/>
              </w:rPr>
              <w:t>0.0 (0.0–39.0)</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Age ≤28 days</w:t>
            </w:r>
          </w:p>
        </w:tc>
        <w:tc>
          <w:tcPr>
            <w:tcW w:type="dxa" w:w="2340"/>
          </w:tcPr>
          <w:p>
            <w:r/>
            <w:r>
              <w:rPr>
                <w:rFonts w:ascii="Times New Roman" w:hAnsi="Times New Roman"/>
                <w:sz w:val="17"/>
              </w:rPr>
              <w:t>51/90</w:t>
            </w:r>
          </w:p>
        </w:tc>
        <w:tc>
          <w:tcPr>
            <w:tcW w:type="dxa" w:w="2340"/>
          </w:tcPr>
          <w:p>
            <w:r/>
            <w:r>
              <w:rPr>
                <w:rFonts w:ascii="Times New Roman" w:hAnsi="Times New Roman"/>
                <w:sz w:val="17"/>
              </w:rPr>
              <w:t>56.7 (46.4–66.4)</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Age 29 days–1 year</w:t>
            </w:r>
          </w:p>
        </w:tc>
        <w:tc>
          <w:tcPr>
            <w:tcW w:type="dxa" w:w="2340"/>
          </w:tcPr>
          <w:p>
            <w:r/>
            <w:r>
              <w:rPr>
                <w:rFonts w:ascii="Times New Roman" w:hAnsi="Times New Roman"/>
                <w:sz w:val="17"/>
              </w:rPr>
              <w:t>7/14</w:t>
            </w:r>
          </w:p>
        </w:tc>
        <w:tc>
          <w:tcPr>
            <w:tcW w:type="dxa" w:w="2340"/>
          </w:tcPr>
          <w:p>
            <w:r/>
            <w:r>
              <w:rPr>
                <w:rFonts w:ascii="Times New Roman" w:hAnsi="Times New Roman"/>
                <w:sz w:val="17"/>
              </w:rPr>
              <w:t>50.0 (26.8–73.2)</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Age &gt;1 year</w:t>
            </w:r>
          </w:p>
        </w:tc>
        <w:tc>
          <w:tcPr>
            <w:tcW w:type="dxa" w:w="2340"/>
          </w:tcPr>
          <w:p>
            <w:r/>
            <w:r>
              <w:rPr>
                <w:rFonts w:ascii="Times New Roman" w:hAnsi="Times New Roman"/>
                <w:sz w:val="17"/>
              </w:rPr>
              <w:t>7/15</w:t>
            </w:r>
          </w:p>
        </w:tc>
        <w:tc>
          <w:tcPr>
            <w:tcW w:type="dxa" w:w="2340"/>
          </w:tcPr>
          <w:p>
            <w:r/>
            <w:r>
              <w:rPr>
                <w:rFonts w:ascii="Times New Roman" w:hAnsi="Times New Roman"/>
                <w:sz w:val="17"/>
              </w:rPr>
              <w:t>46.7 (24.8–69.9)</w:t>
            </w:r>
          </w:p>
        </w:tc>
      </w:tr>
    </w:tbl>
    <w:p>
      <w:pPr>
        <w:spacing w:after="80"/>
      </w:pPr>
    </w:p>
    <w:p>
      <w:pPr>
        <w:spacing w:after="160"/>
      </w:pPr>
      <w:r>
        <w:rPr>
          <w:i w:val="0"/>
        </w:rPr>
        <w:t>Wilson 95% confidence intervals. All strata are computed among children with surgically confirmed malrotation who received that index test, and are not sensitivities. Note in particular the ultrasound / volvulus-absent cell (0 of 6): ultrasound was performed in only 6 of the 62 children in the cohort who had malrotation without volvulus, and the corresponding modality-by-volvulus interaction model does not converge because of this complete separation. No directional conclusion about ultrasound in uncomplicated malrotation can be drawn from these data.</w:t>
      </w:r>
    </w:p>
    <w:p>
      <w:pPr>
        <w:pStyle w:val="Heading1"/>
      </w:pPr>
      <w:r>
        <w:t>S2.2 Detection of a volvulus-specific sign among children with surgically confirmed midgut volvulus</w:t>
      </w:r>
    </w:p>
    <w:p>
      <w:pPr>
        <w:spacing w:after="160"/>
      </w:pPr>
      <w:r>
        <w:rPr>
          <w:b/>
          <w:i w:val="0"/>
        </w:rPr>
        <w:t>Table S4. Detection of a volvulus-specific sign among children with surgically confirmed midgut volvulus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7"/>
              </w:rPr>
              <w:t>Index test</w:t>
            </w:r>
          </w:p>
        </w:tc>
        <w:tc>
          <w:tcPr>
            <w:tcW w:type="dxa" w:w="3120"/>
          </w:tcPr>
          <w:p>
            <w:r/>
            <w:r>
              <w:rPr>
                <w:rFonts w:ascii="Times New Roman" w:hAnsi="Times New Roman"/>
                <w:b/>
                <w:sz w:val="17"/>
              </w:rPr>
              <w:t>Volvulus-specific sign / children with confirmed volvulus</w:t>
            </w:r>
          </w:p>
        </w:tc>
        <w:tc>
          <w:tcPr>
            <w:tcW w:type="dxa" w:w="3120"/>
          </w:tcPr>
          <w:p>
            <w:r/>
            <w:r>
              <w:rPr>
                <w:rFonts w:ascii="Times New Roman" w:hAnsi="Times New Roman"/>
                <w:b/>
                <w:sz w:val="17"/>
              </w:rPr>
              <w:t>Rate % (95% CI)</w:t>
            </w:r>
          </w:p>
        </w:tc>
      </w:tr>
      <w:tr>
        <w:tc>
          <w:tcPr>
            <w:tcW w:type="dxa" w:w="3120"/>
          </w:tcPr>
          <w:p>
            <w:r/>
            <w:r>
              <w:rPr>
                <w:rFonts w:ascii="Times New Roman" w:hAnsi="Times New Roman"/>
                <w:sz w:val="17"/>
              </w:rPr>
              <w:t>UGI contrast series</w:t>
            </w:r>
          </w:p>
        </w:tc>
        <w:tc>
          <w:tcPr>
            <w:tcW w:type="dxa" w:w="3120"/>
          </w:tcPr>
          <w:p>
            <w:r/>
            <w:r>
              <w:rPr>
                <w:rFonts w:ascii="Times New Roman" w:hAnsi="Times New Roman"/>
                <w:sz w:val="17"/>
              </w:rPr>
              <w:t>131/268</w:t>
            </w:r>
          </w:p>
        </w:tc>
        <w:tc>
          <w:tcPr>
            <w:tcW w:type="dxa" w:w="3120"/>
          </w:tcPr>
          <w:p>
            <w:r/>
            <w:r>
              <w:rPr>
                <w:rFonts w:ascii="Times New Roman" w:hAnsi="Times New Roman"/>
                <w:sz w:val="17"/>
              </w:rPr>
              <w:t>48.9 (43.0–54.8)</w:t>
            </w:r>
          </w:p>
        </w:tc>
      </w:tr>
      <w:tr>
        <w:tc>
          <w:tcPr>
            <w:tcW w:type="dxa" w:w="3120"/>
          </w:tcPr>
          <w:p>
            <w:r/>
            <w:r>
              <w:rPr>
                <w:rFonts w:ascii="Times New Roman" w:hAnsi="Times New Roman"/>
                <w:sz w:val="17"/>
              </w:rPr>
              <w:t>Gastrointestinal ultrasound</w:t>
            </w:r>
          </w:p>
        </w:tc>
        <w:tc>
          <w:tcPr>
            <w:tcW w:type="dxa" w:w="3120"/>
          </w:tcPr>
          <w:p>
            <w:r/>
            <w:r>
              <w:rPr>
                <w:rFonts w:ascii="Times New Roman" w:hAnsi="Times New Roman"/>
                <w:sz w:val="17"/>
              </w:rPr>
              <w:t>59/113</w:t>
            </w:r>
          </w:p>
        </w:tc>
        <w:tc>
          <w:tcPr>
            <w:tcW w:type="dxa" w:w="3120"/>
          </w:tcPr>
          <w:p>
            <w:r/>
            <w:r>
              <w:rPr>
                <w:rFonts w:ascii="Times New Roman" w:hAnsi="Times New Roman"/>
                <w:sz w:val="17"/>
              </w:rPr>
              <w:t>52.2 (43.1–61.2)</w:t>
            </w:r>
          </w:p>
        </w:tc>
      </w:tr>
      <w:tr>
        <w:tc>
          <w:tcPr>
            <w:tcW w:type="dxa" w:w="3120"/>
          </w:tcPr>
          <w:p>
            <w:r/>
            <w:r>
              <w:rPr>
                <w:rFonts w:ascii="Times New Roman" w:hAnsi="Times New Roman"/>
                <w:sz w:val="17"/>
              </w:rPr>
              <w:t>Abdominal CT</w:t>
            </w:r>
          </w:p>
        </w:tc>
        <w:tc>
          <w:tcPr>
            <w:tcW w:type="dxa" w:w="3120"/>
          </w:tcPr>
          <w:p>
            <w:r/>
            <w:r>
              <w:rPr>
                <w:rFonts w:ascii="Times New Roman" w:hAnsi="Times New Roman"/>
                <w:sz w:val="17"/>
              </w:rPr>
              <w:t>116/281</w:t>
            </w:r>
          </w:p>
        </w:tc>
        <w:tc>
          <w:tcPr>
            <w:tcW w:type="dxa" w:w="3120"/>
          </w:tcPr>
          <w:p>
            <w:r/>
            <w:r>
              <w:rPr>
                <w:rFonts w:ascii="Times New Roman" w:hAnsi="Times New Roman"/>
                <w:sz w:val="17"/>
              </w:rPr>
              <w:t>41.3 (35.7–47.1)</w:t>
            </w:r>
          </w:p>
        </w:tc>
      </w:tr>
    </w:tbl>
    <w:p>
      <w:pPr>
        <w:spacing w:after="80"/>
      </w:pPr>
    </w:p>
    <w:p>
      <w:pPr>
        <w:spacing w:after="160"/>
      </w:pPr>
      <w:r>
        <w:rPr>
          <w:i w:val="0"/>
        </w:rPr>
        <w:t>A volvulus-specific sign was defined as a whirlpool or corkscrew appearance, or an explicit report of a twist. In the subgroup of 57 children with confirmed volvulus who received all three examinations, ultrasound and the UGI series reported such a sign at similar rates and both numerically more often than CT, but no pairwise comparison was robust: under the pre-specified text definition used here, ultrasound versus CT gave p=0.13 and Cochran's Q p=0.12. An earlier version of this analysis, using a narrower sign definition, produced a nominally significant ultrasound-versus-CT difference (p=0.041). Because the result is sensitive to how the sign is defined, we report it here as exploratory and make no claim of a difference between modalities.</w:t>
      </w:r>
    </w:p>
    <w:p>
      <w:pPr>
        <w:spacing w:after="160"/>
      </w:pPr>
      <w:r>
        <w:rPr>
          <w:i w:val="0"/>
        </w:rPr>
        <w:t>The finding that survives this sensitivity is directional rather than comparative: within ultrasound, the whirlpool sign was both the dominant documented finding and the near-exclusive determinant of a positive report (main manuscript, Table 3), which is consistent with the whirlpool sign being fundamentally a sign of volvulus rather than of malrotation.</w:t>
      </w:r>
    </w:p>
    <w:p>
      <w:r>
        <w:br w:type="page"/>
      </w:r>
    </w:p>
    <w:p>
      <w:pPr>
        <w:pStyle w:val="Title"/>
        <w:spacing w:after="160"/>
      </w:pPr>
      <w:r>
        <w:rPr>
          <w:i w:val="0"/>
        </w:rPr>
        <w:t>Online Resource 3. Content audit of the CT and upper gastrointestinal series index reports</w:t>
      </w:r>
    </w:p>
    <w:p>
      <w:pPr>
        <w:spacing w:after="160"/>
      </w:pPr>
      <w:r>
        <w:rPr>
          <w:i w:val="0"/>
        </w:rPr>
        <w:t>Supplement to the same manuscript.</w:t>
      </w:r>
    </w:p>
    <w:p>
      <w:pPr>
        <w:spacing w:after="160"/>
      </w:pPr>
      <w:r>
        <w:rPr>
          <w:b/>
          <w:i w:val="0"/>
        </w:rPr>
        <w:t>Table S5. Documented content of the CT and upper gastrointestinal series index reports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7"/>
              </w:rPr>
              <w:t>Modality</w:t>
            </w:r>
          </w:p>
        </w:tc>
        <w:tc>
          <w:tcPr>
            <w:tcW w:type="dxa" w:w="1872"/>
          </w:tcPr>
          <w:p>
            <w:r/>
            <w:r>
              <w:rPr>
                <w:rFonts w:ascii="Times New Roman" w:hAnsi="Times New Roman"/>
                <w:b/>
                <w:sz w:val="17"/>
              </w:rPr>
              <w:t>Documented content</w:t>
            </w:r>
          </w:p>
        </w:tc>
        <w:tc>
          <w:tcPr>
            <w:tcW w:type="dxa" w:w="1872"/>
          </w:tcPr>
          <w:p>
            <w:r/>
            <w:r>
              <w:rPr>
                <w:rFonts w:ascii="Times New Roman" w:hAnsi="Times New Roman"/>
                <w:b/>
                <w:sz w:val="17"/>
              </w:rPr>
              <w:t>n (%) of reports</w:t>
            </w:r>
          </w:p>
        </w:tc>
        <w:tc>
          <w:tcPr>
            <w:tcW w:type="dxa" w:w="1872"/>
          </w:tcPr>
          <w:p>
            <w:r/>
            <w:r>
              <w:rPr>
                <w:rFonts w:ascii="Times New Roman" w:hAnsi="Times New Roman"/>
                <w:b/>
                <w:sz w:val="17"/>
              </w:rPr>
              <w:t>Detection when documented, %</w:t>
            </w:r>
          </w:p>
        </w:tc>
        <w:tc>
          <w:tcPr>
            <w:tcW w:type="dxa" w:w="1872"/>
          </w:tcPr>
          <w:p>
            <w:r/>
            <w:r>
              <w:rPr>
                <w:rFonts w:ascii="Times New Roman" w:hAnsi="Times New Roman"/>
                <w:b/>
                <w:sz w:val="17"/>
              </w:rPr>
              <w:t>Detection when not documented, %</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Contrast enhancement</w:t>
            </w:r>
          </w:p>
        </w:tc>
        <w:tc>
          <w:tcPr>
            <w:tcW w:type="dxa" w:w="1872"/>
          </w:tcPr>
          <w:p>
            <w:r/>
            <w:r>
              <w:rPr>
                <w:rFonts w:ascii="Times New Roman" w:hAnsi="Times New Roman"/>
                <w:sz w:val="17"/>
              </w:rPr>
              <w:t>52 (16.2)</w:t>
            </w:r>
          </w:p>
        </w:tc>
        <w:tc>
          <w:tcPr>
            <w:tcW w:type="dxa" w:w="1872"/>
          </w:tcPr>
          <w:p>
            <w:r/>
            <w:r>
              <w:rPr>
                <w:rFonts w:ascii="Times New Roman" w:hAnsi="Times New Roman"/>
                <w:sz w:val="17"/>
              </w:rPr>
              <w:t>84.6</w:t>
            </w:r>
          </w:p>
        </w:tc>
        <w:tc>
          <w:tcPr>
            <w:tcW w:type="dxa" w:w="1872"/>
          </w:tcPr>
          <w:p>
            <w:r/>
            <w:r>
              <w:rPr>
                <w:rFonts w:ascii="Times New Roman" w:hAnsi="Times New Roman"/>
                <w:sz w:val="17"/>
              </w:rPr>
              <w:t>47.4</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Mesenteric whirl</w:t>
            </w:r>
          </w:p>
        </w:tc>
        <w:tc>
          <w:tcPr>
            <w:tcW w:type="dxa" w:w="1872"/>
          </w:tcPr>
          <w:p>
            <w:r/>
            <w:r>
              <w:rPr>
                <w:rFonts w:ascii="Times New Roman" w:hAnsi="Times New Roman"/>
                <w:sz w:val="17"/>
              </w:rPr>
              <w:t>116 (36.2)</w:t>
            </w:r>
          </w:p>
        </w:tc>
        <w:tc>
          <w:tcPr>
            <w:tcW w:type="dxa" w:w="1872"/>
          </w:tcPr>
          <w:p>
            <w:r/>
            <w:r>
              <w:rPr>
                <w:rFonts w:ascii="Times New Roman" w:hAnsi="Times New Roman"/>
                <w:sz w:val="17"/>
              </w:rPr>
              <w:t>98.3</w:t>
            </w:r>
          </w:p>
        </w:tc>
        <w:tc>
          <w:tcPr>
            <w:tcW w:type="dxa" w:w="1872"/>
          </w:tcPr>
          <w:p>
            <w:r/>
            <w:r>
              <w:rPr>
                <w:rFonts w:ascii="Times New Roman" w:hAnsi="Times New Roman"/>
                <w:sz w:val="17"/>
              </w:rPr>
              <w:t>27.9</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Duodenal position</w:t>
            </w:r>
          </w:p>
        </w:tc>
        <w:tc>
          <w:tcPr>
            <w:tcW w:type="dxa" w:w="1872"/>
          </w:tcPr>
          <w:p>
            <w:r/>
            <w:r>
              <w:rPr>
                <w:rFonts w:ascii="Times New Roman" w:hAnsi="Times New Roman"/>
                <w:sz w:val="17"/>
              </w:rPr>
              <w:t>72 (22.5)</w:t>
            </w:r>
          </w:p>
        </w:tc>
        <w:tc>
          <w:tcPr>
            <w:tcW w:type="dxa" w:w="1872"/>
          </w:tcPr>
          <w:p>
            <w:r/>
            <w:r>
              <w:rPr>
                <w:rFonts w:ascii="Times New Roman" w:hAnsi="Times New Roman"/>
                <w:sz w:val="17"/>
              </w:rPr>
              <w:t>59.7</w:t>
            </w:r>
          </w:p>
        </w:tc>
        <w:tc>
          <w:tcPr>
            <w:tcW w:type="dxa" w:w="1872"/>
          </w:tcPr>
          <w:p>
            <w:r/>
            <w:r>
              <w:rPr>
                <w:rFonts w:ascii="Times New Roman" w:hAnsi="Times New Roman"/>
                <w:sz w:val="17"/>
              </w:rPr>
              <w:t>51.6</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Mesenteric-vessel relationship</w:t>
            </w:r>
          </w:p>
        </w:tc>
        <w:tc>
          <w:tcPr>
            <w:tcW w:type="dxa" w:w="1872"/>
          </w:tcPr>
          <w:p>
            <w:r/>
            <w:r>
              <w:rPr>
                <w:rFonts w:ascii="Times New Roman" w:hAnsi="Times New Roman"/>
                <w:sz w:val="17"/>
              </w:rPr>
              <w:t>41 (12.8)</w:t>
            </w:r>
          </w:p>
        </w:tc>
        <w:tc>
          <w:tcPr>
            <w:tcW w:type="dxa" w:w="1872"/>
          </w:tcPr>
          <w:p>
            <w:r/>
            <w:r>
              <w:rPr>
                <w:rFonts w:ascii="Times New Roman" w:hAnsi="Times New Roman"/>
                <w:sz w:val="17"/>
              </w:rPr>
              <w:t>85.4</w:t>
            </w:r>
          </w:p>
        </w:tc>
        <w:tc>
          <w:tcPr>
            <w:tcW w:type="dxa" w:w="1872"/>
          </w:tcPr>
          <w:p>
            <w:r/>
            <w:r>
              <w:rPr>
                <w:rFonts w:ascii="Times New Roman" w:hAnsi="Times New Roman"/>
                <w:sz w:val="17"/>
              </w:rPr>
              <w:t>48.7</w:t>
            </w:r>
          </w:p>
        </w:tc>
      </w:tr>
      <w:tr>
        <w:tc>
          <w:tcPr>
            <w:tcW w:type="dxa" w:w="1872"/>
          </w:tcPr>
          <w:p>
            <w:r/>
            <w:r>
              <w:rPr>
                <w:rFonts w:ascii="Times New Roman" w:hAnsi="Times New Roman"/>
                <w:sz w:val="17"/>
              </w:rPr>
              <w:t>Abdominal CT (n=320)</w:t>
            </w:r>
          </w:p>
        </w:tc>
        <w:tc>
          <w:tcPr>
            <w:tcW w:type="dxa" w:w="1872"/>
          </w:tcPr>
          <w:p>
            <w:r/>
            <w:r>
              <w:rPr>
                <w:rFonts w:ascii="Times New Roman" w:hAnsi="Times New Roman"/>
                <w:sz w:val="17"/>
              </w:rPr>
              <w:t>Three-dimensional reconstruction</w:t>
            </w:r>
          </w:p>
        </w:tc>
        <w:tc>
          <w:tcPr>
            <w:tcW w:type="dxa" w:w="1872"/>
          </w:tcPr>
          <w:p>
            <w:r/>
            <w:r>
              <w:rPr>
                <w:rFonts w:ascii="Times New Roman" w:hAnsi="Times New Roman"/>
                <w:sz w:val="17"/>
              </w:rPr>
              <w:t>124 (38.8)</w:t>
            </w:r>
          </w:p>
        </w:tc>
        <w:tc>
          <w:tcPr>
            <w:tcW w:type="dxa" w:w="1872"/>
          </w:tcPr>
          <w:p>
            <w:r/>
            <w:r>
              <w:rPr>
                <w:rFonts w:ascii="Times New Roman" w:hAnsi="Times New Roman"/>
                <w:sz w:val="17"/>
              </w:rPr>
              <w:t>63.7</w:t>
            </w:r>
          </w:p>
        </w:tc>
        <w:tc>
          <w:tcPr>
            <w:tcW w:type="dxa" w:w="1872"/>
          </w:tcPr>
          <w:p>
            <w:r/>
            <w:r>
              <w:rPr>
                <w:rFonts w:ascii="Times New Roman" w:hAnsi="Times New Roman"/>
                <w:sz w:val="17"/>
              </w:rPr>
              <w:t>46.9</w:t>
            </w:r>
          </w:p>
        </w:tc>
      </w:tr>
      <w:tr>
        <w:tc>
          <w:tcPr>
            <w:tcW w:type="dxa" w:w="1872"/>
          </w:tcPr>
          <w:p>
            <w:r/>
            <w:r>
              <w:rPr>
                <w:rFonts w:ascii="Times New Roman" w:hAnsi="Times New Roman"/>
                <w:sz w:val="17"/>
              </w:rPr>
              <w:t>UGI contrast series (n=301)</w:t>
            </w:r>
          </w:p>
        </w:tc>
        <w:tc>
          <w:tcPr>
            <w:tcW w:type="dxa" w:w="1872"/>
          </w:tcPr>
          <w:p>
            <w:r/>
            <w:r>
              <w:rPr>
                <w:rFonts w:ascii="Times New Roman" w:hAnsi="Times New Roman"/>
                <w:sz w:val="17"/>
              </w:rPr>
              <w:t>Duodenojejunal junction</w:t>
            </w:r>
          </w:p>
        </w:tc>
        <w:tc>
          <w:tcPr>
            <w:tcW w:type="dxa" w:w="1872"/>
          </w:tcPr>
          <w:p>
            <w:r/>
            <w:r>
              <w:rPr>
                <w:rFonts w:ascii="Times New Roman" w:hAnsi="Times New Roman"/>
                <w:sz w:val="17"/>
              </w:rPr>
              <w:t>164 (54.5)</w:t>
            </w:r>
          </w:p>
        </w:tc>
        <w:tc>
          <w:tcPr>
            <w:tcW w:type="dxa" w:w="1872"/>
          </w:tcPr>
          <w:p>
            <w:r/>
            <w:r>
              <w:rPr>
                <w:rFonts w:ascii="Times New Roman" w:hAnsi="Times New Roman"/>
                <w:sz w:val="17"/>
              </w:rPr>
              <w:t>98.2</w:t>
            </w:r>
          </w:p>
        </w:tc>
        <w:tc>
          <w:tcPr>
            <w:tcW w:type="dxa" w:w="1872"/>
          </w:tcPr>
          <w:p>
            <w:r/>
            <w:r>
              <w:rPr>
                <w:rFonts w:ascii="Times New Roman" w:hAnsi="Times New Roman"/>
                <w:sz w:val="17"/>
              </w:rPr>
              <w:t>55.5</w:t>
            </w:r>
          </w:p>
        </w:tc>
      </w:tr>
      <w:tr>
        <w:tc>
          <w:tcPr>
            <w:tcW w:type="dxa" w:w="1872"/>
          </w:tcPr>
          <w:p>
            <w:r/>
            <w:r>
              <w:rPr>
                <w:rFonts w:ascii="Times New Roman" w:hAnsi="Times New Roman"/>
                <w:sz w:val="17"/>
              </w:rPr>
              <w:t>UGI contrast series (n=301)</w:t>
            </w:r>
          </w:p>
        </w:tc>
        <w:tc>
          <w:tcPr>
            <w:tcW w:type="dxa" w:w="1872"/>
          </w:tcPr>
          <w:p>
            <w:r/>
            <w:r>
              <w:rPr>
                <w:rFonts w:ascii="Times New Roman" w:hAnsi="Times New Roman"/>
                <w:sz w:val="17"/>
              </w:rPr>
              <w:t>Corkscrew / spring appearance</w:t>
            </w:r>
          </w:p>
        </w:tc>
        <w:tc>
          <w:tcPr>
            <w:tcW w:type="dxa" w:w="1872"/>
          </w:tcPr>
          <w:p>
            <w:r/>
            <w:r>
              <w:rPr>
                <w:rFonts w:ascii="Times New Roman" w:hAnsi="Times New Roman"/>
                <w:sz w:val="17"/>
              </w:rPr>
              <w:t>140 (46.5)</w:t>
            </w:r>
          </w:p>
        </w:tc>
        <w:tc>
          <w:tcPr>
            <w:tcW w:type="dxa" w:w="1872"/>
          </w:tcPr>
          <w:p>
            <w:r/>
            <w:r>
              <w:rPr>
                <w:rFonts w:ascii="Times New Roman" w:hAnsi="Times New Roman"/>
                <w:sz w:val="17"/>
              </w:rPr>
              <w:t>100.0</w:t>
            </w:r>
          </w:p>
        </w:tc>
        <w:tc>
          <w:tcPr>
            <w:tcW w:type="dxa" w:w="1872"/>
          </w:tcPr>
          <w:p>
            <w:r/>
            <w:r>
              <w:rPr>
                <w:rFonts w:ascii="Times New Roman" w:hAnsi="Times New Roman"/>
                <w:sz w:val="17"/>
              </w:rPr>
              <w:t>60.2</w:t>
            </w:r>
          </w:p>
        </w:tc>
      </w:tr>
      <w:tr>
        <w:tc>
          <w:tcPr>
            <w:tcW w:type="dxa" w:w="1872"/>
          </w:tcPr>
          <w:p>
            <w:r/>
            <w:r>
              <w:rPr>
                <w:rFonts w:ascii="Times New Roman" w:hAnsi="Times New Roman"/>
                <w:sz w:val="17"/>
              </w:rPr>
              <w:t>UGI contrast series (n=301)</w:t>
            </w:r>
          </w:p>
        </w:tc>
        <w:tc>
          <w:tcPr>
            <w:tcW w:type="dxa" w:w="1872"/>
          </w:tcPr>
          <w:p>
            <w:r/>
            <w:r>
              <w:rPr>
                <w:rFonts w:ascii="Times New Roman" w:hAnsi="Times New Roman"/>
                <w:sz w:val="17"/>
              </w:rPr>
              <w:t>Jejunal position</w:t>
            </w:r>
          </w:p>
        </w:tc>
        <w:tc>
          <w:tcPr>
            <w:tcW w:type="dxa" w:w="1872"/>
          </w:tcPr>
          <w:p>
            <w:r/>
            <w:r>
              <w:rPr>
                <w:rFonts w:ascii="Times New Roman" w:hAnsi="Times New Roman"/>
                <w:sz w:val="17"/>
              </w:rPr>
              <w:t>212 (70.4)</w:t>
            </w:r>
          </w:p>
        </w:tc>
        <w:tc>
          <w:tcPr>
            <w:tcW w:type="dxa" w:w="1872"/>
          </w:tcPr>
          <w:p>
            <w:r/>
            <w:r>
              <w:rPr>
                <w:rFonts w:ascii="Times New Roman" w:hAnsi="Times New Roman"/>
                <w:sz w:val="17"/>
              </w:rPr>
              <w:t>93.9</w:t>
            </w:r>
          </w:p>
        </w:tc>
        <w:tc>
          <w:tcPr>
            <w:tcW w:type="dxa" w:w="1872"/>
          </w:tcPr>
          <w:p>
            <w:r/>
            <w:r>
              <w:rPr>
                <w:rFonts w:ascii="Times New Roman" w:hAnsi="Times New Roman"/>
                <w:sz w:val="17"/>
              </w:rPr>
              <w:t>42.7</w:t>
            </w:r>
          </w:p>
        </w:tc>
      </w:tr>
      <w:tr>
        <w:tc>
          <w:tcPr>
            <w:tcW w:type="dxa" w:w="1872"/>
          </w:tcPr>
          <w:p>
            <w:r/>
            <w:r>
              <w:rPr>
                <w:rFonts w:ascii="Times New Roman" w:hAnsi="Times New Roman"/>
                <w:sz w:val="17"/>
              </w:rPr>
              <w:t>UGI contrast series (n=301)</w:t>
            </w:r>
          </w:p>
        </w:tc>
        <w:tc>
          <w:tcPr>
            <w:tcW w:type="dxa" w:w="1872"/>
          </w:tcPr>
          <w:p>
            <w:r/>
            <w:r>
              <w:rPr>
                <w:rFonts w:ascii="Times New Roman" w:hAnsi="Times New Roman"/>
                <w:sz w:val="17"/>
              </w:rPr>
              <w:t>Caecal position</w:t>
            </w:r>
          </w:p>
        </w:tc>
        <w:tc>
          <w:tcPr>
            <w:tcW w:type="dxa" w:w="1872"/>
          </w:tcPr>
          <w:p>
            <w:r/>
            <w:r>
              <w:rPr>
                <w:rFonts w:ascii="Times New Roman" w:hAnsi="Times New Roman"/>
                <w:sz w:val="17"/>
              </w:rPr>
              <w:t>200 (66.4)</w:t>
            </w:r>
          </w:p>
        </w:tc>
        <w:tc>
          <w:tcPr>
            <w:tcW w:type="dxa" w:w="1872"/>
          </w:tcPr>
          <w:p>
            <w:r/>
            <w:r>
              <w:rPr>
                <w:rFonts w:ascii="Times New Roman" w:hAnsi="Times New Roman"/>
                <w:sz w:val="17"/>
              </w:rPr>
              <w:t>90.0</w:t>
            </w:r>
          </w:p>
        </w:tc>
        <w:tc>
          <w:tcPr>
            <w:tcW w:type="dxa" w:w="1872"/>
          </w:tcPr>
          <w:p>
            <w:r/>
            <w:r>
              <w:rPr>
                <w:rFonts w:ascii="Times New Roman" w:hAnsi="Times New Roman"/>
                <w:sz w:val="17"/>
              </w:rPr>
              <w:t>56.4</w:t>
            </w:r>
          </w:p>
        </w:tc>
      </w:tr>
      <w:tr>
        <w:tc>
          <w:tcPr>
            <w:tcW w:type="dxa" w:w="1872"/>
          </w:tcPr>
          <w:p>
            <w:r/>
            <w:r>
              <w:rPr>
                <w:rFonts w:ascii="Times New Roman" w:hAnsi="Times New Roman"/>
                <w:sz w:val="17"/>
              </w:rPr>
              <w:t>UGI contrast series (n=301)</w:t>
            </w:r>
          </w:p>
        </w:tc>
        <w:tc>
          <w:tcPr>
            <w:tcW w:type="dxa" w:w="1872"/>
          </w:tcPr>
          <w:p>
            <w:r/>
            <w:r>
              <w:rPr>
                <w:rFonts w:ascii="Times New Roman" w:hAnsi="Times New Roman"/>
                <w:sz w:val="17"/>
              </w:rPr>
              <w:t>Whole-gastrointestinal study</w:t>
            </w:r>
          </w:p>
        </w:tc>
        <w:tc>
          <w:tcPr>
            <w:tcW w:type="dxa" w:w="1872"/>
          </w:tcPr>
          <w:p>
            <w:r/>
            <w:r>
              <w:rPr>
                <w:rFonts w:ascii="Times New Roman" w:hAnsi="Times New Roman"/>
                <w:sz w:val="17"/>
              </w:rPr>
              <w:t>286 (95.0)</w:t>
            </w:r>
          </w:p>
        </w:tc>
        <w:tc>
          <w:tcPr>
            <w:tcW w:type="dxa" w:w="1872"/>
          </w:tcPr>
          <w:p>
            <w:r/>
            <w:r>
              <w:rPr>
                <w:rFonts w:ascii="Times New Roman" w:hAnsi="Times New Roman"/>
                <w:sz w:val="17"/>
              </w:rPr>
              <w:t>78.3</w:t>
            </w:r>
          </w:p>
        </w:tc>
        <w:tc>
          <w:tcPr>
            <w:tcW w:type="dxa" w:w="1872"/>
          </w:tcPr>
          <w:p>
            <w:r/>
            <w:r>
              <w:rPr>
                <w:rFonts w:ascii="Times New Roman" w:hAnsi="Times New Roman"/>
                <w:sz w:val="17"/>
              </w:rPr>
              <w:t>86.7</w:t>
            </w:r>
          </w:p>
        </w:tc>
      </w:tr>
      <w:tr>
        <w:tc>
          <w:tcPr>
            <w:tcW w:type="dxa" w:w="1872"/>
          </w:tcPr>
          <w:p>
            <w:r/>
            <w:r>
              <w:rPr>
                <w:rFonts w:ascii="Times New Roman" w:hAnsi="Times New Roman"/>
                <w:sz w:val="17"/>
              </w:rPr>
              <w:t>UGI contrast series (n=301)</w:t>
            </w:r>
          </w:p>
        </w:tc>
        <w:tc>
          <w:tcPr>
            <w:tcW w:type="dxa" w:w="1872"/>
          </w:tcPr>
          <w:p>
            <w:r/>
            <w:r>
              <w:rPr>
                <w:rFonts w:ascii="Times New Roman" w:hAnsi="Times New Roman"/>
                <w:sz w:val="17"/>
              </w:rPr>
              <w:t>Barium used</w:t>
            </w:r>
          </w:p>
        </w:tc>
        <w:tc>
          <w:tcPr>
            <w:tcW w:type="dxa" w:w="1872"/>
          </w:tcPr>
          <w:p>
            <w:r/>
            <w:r>
              <w:rPr>
                <w:rFonts w:ascii="Times New Roman" w:hAnsi="Times New Roman"/>
                <w:sz w:val="17"/>
              </w:rPr>
              <w:t>17 (5.6)</w:t>
            </w:r>
          </w:p>
        </w:tc>
        <w:tc>
          <w:tcPr>
            <w:tcW w:type="dxa" w:w="1872"/>
          </w:tcPr>
          <w:p>
            <w:r/>
            <w:r>
              <w:rPr>
                <w:rFonts w:ascii="Times New Roman" w:hAnsi="Times New Roman"/>
                <w:sz w:val="17"/>
              </w:rPr>
              <w:t>94.1</w:t>
            </w:r>
          </w:p>
        </w:tc>
        <w:tc>
          <w:tcPr>
            <w:tcW w:type="dxa" w:w="1872"/>
          </w:tcPr>
          <w:p>
            <w:r/>
            <w:r>
              <w:rPr>
                <w:rFonts w:ascii="Times New Roman" w:hAnsi="Times New Roman"/>
                <w:sz w:val="17"/>
              </w:rPr>
              <w:t>77.8</w:t>
            </w:r>
          </w:p>
        </w:tc>
      </w:tr>
    </w:tbl>
    <w:p>
      <w:pPr>
        <w:spacing w:after="80"/>
      </w:pPr>
    </w:p>
    <w:p>
      <w:pPr>
        <w:spacing w:after="160"/>
      </w:pPr>
      <w:r>
        <w:rPr>
          <w:i w:val="0"/>
        </w:rPr>
        <w:t>Content was coded from the findings and conclusion text of each index report using the patterns in Online Resource 1, Section H. Detection percentages are report-level detection among surgically confirmed children, conditional on whether the element was documented. As with the ultrasound audit in the main manuscript, these are associations within routine reports and are not adjusted for indication, age or era; a report describing a mesenteric whirl is, unsurprisingly, a report likely to conclude that malrotation is present, and the value of the tabulation is in showing how often each element was documented at all.</w:t>
      </w:r>
    </w:p>
    <w:p>
      <w:pPr>
        <w:spacing w:after="160"/>
      </w:pPr>
      <w:r>
        <w:rPr>
          <w:i w:val="0"/>
        </w:rPr>
        <w:t>Two observations are worth noting alongside the ultrasound findings. First, the upper gastrointestinal series was the only modality whose routine reports documented the anatomical landmark that defines malrotation — the duodenojejunal junction — in a majority of examinations (54.5%), and jejunal position in 70.4%. Second, the mesenteric whirl was documented in only 36.2% of CT reports, and contrast enhancement, which is what renders the whirl visible, was used in only 16.2%; the two together account for most of the observed CT detection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