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2,995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itself a positivity criterion, and in 5 of 58 without one. A whirlpool was recorded in 59 of 112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The 2025 multicenter series measured performance from the original clinical reports, after excluding non-diagnostic and equivocal examinations [13]. A report audit of the UGI series for malrotation found discrepancies with blinded re-reading and proposed a structured template [20], but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 The audit criteria are provided as a minimum reporting dataset that other departments can apply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The whirlpool sign is a sign of volvulus rather than of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[23]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[24] with an exchangeable working correlation, patient-level clustering and cluster-robust standard errors, unadjusted and adjusted for era (2012–2018 vs 2019–2026) and age group.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[25, 26].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Attenuation was not interpreted as mediation.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detection was higher in that position (80.0% [144/180] vs 70.0% [42/60] for the UGI series),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remained less often positive than the UGI series; the coefficients absorb indication, pathway position and examination content and are given in Supplement 2. Reclassifying possible-tier conclusions as negative reduced detection to 50.2%, 32.9% and 25.6%; counting only conclusions that named malrotation gave 77.8%, 48.6% and 53.8%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 xml:space="preserve">Fifty-nine children underwent all three modalities. This subgroup, in whom the diagnosis remained uncertain,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a pattern unchanged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Such a gap might be expected with free-text reports and no condition-specific protocol, as here; the audit shows its size and its consequence: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[27]),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 Whether documenting them would have raised detection cannot be tested, as documentation is a lower bound on what was done.</w:t>
      </w:r>
    </w:p>
    <w:p>
      <w:pPr>
        <w:spacing w:after="160" w:line="480" w:lineRule="auto"/>
      </w:pPr>
      <w:r>
        <w:t>The temporal analysis is exploratory: the crude rise was imprecise, the booking indicator was chosen after inspection of the data, and booking was not randomized, as a child suspected of volvulus is both more likely to be booked for a vessel study and more likely to have a whirlpool. The consistent observation is descriptive: duodenal landmarks were documented no more often in the later era, while whirlpool reporting rose.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the last preoperative test in 75.0% of children who had it with another index test, may often have precipitated the operation that confirmed the diagnosis, an incorporation bias asymmetrical between tests. Pathway position therefore also differed. The modalities were also used in different children for different reasons (Table 1), which no adjustment can undo.</w:t>
      </w:r>
    </w:p>
    <w:p>
      <w:pPr>
        <w:spacing w:after="160" w:line="480" w:lineRule="auto"/>
      </w:pPr>
      <w:r>
        <w:t>The documentation gap bears on departments adopting an ultrasound-first pathway on the basis of sensitivities of 93–97%, and on guidance weighing that evidence [19]: published performance applies only where examinations resemble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 but a department whose reports lack these elements should not assume that published values apply to its own.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whether the deficit generalizes, whether a structured report would raise documentation and whether documentation would raise detection are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25. Firth D. Bias reduction of maximum likelihood estimates. </w:t>
      </w:r>
      <w:r>
        <w:rPr>
          <w:i/>
          <w:sz w:val="20"/>
        </w:rPr>
        <w:t>Biometrika</w:t>
      </w:r>
      <w:r>
        <w:rPr>
          <w:sz w:val="20"/>
        </w:rPr>
        <w:t>. 1993;80:27-38. doi:10.1093/biomet/80.1.27</w:t>
      </w:r>
    </w:p>
    <w:p>
      <w:pPr>
        <w:spacing w:after="60" w:line="480" w:lineRule="auto"/>
      </w:pPr>
      <w:r>
        <w:rPr>
          <w:sz w:val="20"/>
        </w:rPr>
        <w:t xml:space="preserve">26.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27.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elements documented in more than seven examinations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