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a performance attributed to assessment of the third portion of the duodenum (D3), the duodenojejunal junction and the mesenteric vessels. Most of that evidence postdates the 2020 ACR Appropriateness Criteria, which rate ultrasound as "may be appropriate" and the upper gastrointestinal series as "usually appropriate" for bilious vomiting in infants older than 2 days. Whether routine reports document those elements, and how this relates to whether the diagnosis is reported, has not, to our knowledge, been examined at scale. This is a question of clinical practice management, namely the content and quality of routine radiology reports, rather than of the intrinsic accuracy of a modality, which is why we are submitting it to </w:t>
      </w:r>
      <w:r>
        <w:rPr>
          <w:i/>
        </w:rPr>
        <w:t>JACR</w:t>
      </w:r>
      <w:r>
        <w:t>.</w:t>
      </w:r>
    </w:p>
    <w:p>
      <w:pPr>
        <w:spacing w:after="160"/>
      </w:pPr>
      <w:r>
        <w:t xml:space="preserve">We audited 13.6 years of routine reports at a tertiary children's hospital: 723 preoperative index examinations in 398 children with surgically confirmed malrotation, coding each examination both for whether it named the diagnosis and for the technical elements it documented, the ultrasound elements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followed that content closely: 5 of the 58 examinations without a reported whirlpool named the diagnosis, and a whirlpool was reported in only 59 of the 112 children in whom operation confirmed midgut volvulus. In routine practice, a positive ultrasound report rested almost entirely on the whirlpool sign, a sign of volvulus.</w:t>
      </w:r>
    </w:p>
    <w:p>
      <w:pPr>
        <w:spacing w:after="160"/>
      </w:pPr>
      <w:r>
        <w:t>Whirlpool reporting rose in the later years of the study, while the duodenal landmarks stayed rare. An exploratory analysis of the change in ultrasound detection over time is reported as such: the difference between eras was imprecise and its association with how examinations were booked cannot be separated from the indication for the test.</w:t>
      </w:r>
    </w:p>
    <w:p>
      <w:pPr>
        <w:spacing w:after="160"/>
      </w:pPr>
      <w:r>
        <w:t>For radiology departments the implication is practical, and the submission provides the means to act on it. Unlike accuracy, documentation needs no reference standard: it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classification of free-text reports, a transparent rule-based method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 This is a single-center, first audit cycle: whether a structured report changes documentation or detection has not been tested, and we say so.</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