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pStyle w:val="Heading1"/>
      </w:pPr>
      <w:r>
        <w:t>Abstract</w:t>
      </w:r>
    </w:p>
    <w:p>
      <w:pPr>
        <w:spacing w:after="160" w:line="480" w:lineRule="auto"/>
      </w:pPr>
      <w:r>
        <w:rPr>
          <w:b/>
        </w:rPr>
        <w:t>Objectives:</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audited for documented technical content (ultrasound by two independent readers). As the cohort was surgically confirmed, the outcome was report-level detection among tested children, with Wilson 95% confidence intervals;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confidence interval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"possible" wording.</w:t>
      </w:r>
    </w:p>
    <w:p>
      <w:pPr>
        <w:spacing w:after="160" w:line="480" w:lineRule="auto"/>
      </w:pPr>
      <w:r>
        <w:rPr>
          <w:b/>
        </w:rPr>
        <w:t>Conclusions:</w:t>
      </w:r>
      <w:r>
        <w:t xml:space="preserve">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to bowel necrosis within hours [1] and lead to short-bowel syndrome or death [1,2]. Bilious vomiting in a neonate is a surgical emergency until malrotation with volvulus has been excluded, although older children may present atypically and be diagnosed late [3,4].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computed tomography (CT) is not a dedicated test, and the mesenteric swirl it may show is neither reliably present nor specific in children [9,10]. Practice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[12,13,15–17]. The same literature describes these elements as demanding and not universally achievable, and D3 position alone as insufficient for diagnosis [18]. The 2020 American College of Radiology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on blinded re-reading and proposed a structured template [20]. To our knowledge, no study has examined at scale whether routine reports from a general pediatric ultrasound service document the elements to which this performance is attributed, or how documentation relates to whether the diagnosis is reported.</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the accuracy of the tests. The UGI series and CT are reported alongside ultrasound to show where ultrasound sat in the diagnostic pathway, not to rank them. The audit criteria are provided as a minimum reporting dataset (Supplement 4).</w:t>
      </w:r>
    </w:p>
    <w:p>
      <w:pPr>
        <w:pStyle w:val="Heading1"/>
      </w:pPr>
      <w:r>
        <w:t>Materials and Methods</w:t>
      </w:r>
    </w:p>
    <w:p>
      <w:pPr>
        <w:pStyle w:val="Heading2"/>
      </w:pPr>
      <w:r>
        <w:t>Design, terminology and estimable quantities</w:t>
      </w:r>
    </w:p>
    <w:p>
      <w:pPr>
        <w:spacing w:after="160" w:line="480" w:lineRule="auto"/>
      </w:pPr>
      <w:r>
        <w:t xml:space="preserve">This was a retrospective, single-center, case-only report audit. The institutional review board approved the study and waived informed consent because of the retrospective, de-identified design (details on the title page). Reporting follows the Strengthening the Reporting of Observational Studies in Epidemiology guideline [21]; the Standards for Reporting of Diagnostic Accuracy guideline was not used because this is not a diagnostic accuracy design. The cohort includes no children in whom malrotation was suspected and excluded. The outcome is the </w:t>
      </w:r>
      <w:r>
        <w:rPr>
          <w:b/>
        </w:rPr>
        <w:t>report-level detection rate among surgically confirmed children who underwent the test</w:t>
      </w:r>
      <w:r>
        <w:t>. We avoid the term "sensitivity" because the rate does not transfer to children investigated for suspicion. Specificity, predictive values and any accuracy-based ranking cannot be estimated. The whirlpool sign indicates volvulus rather than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with an operative diagnosis of intestinal malrotation or a recorded Ladd procedure were selected (search strings in Supplement 1), giving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concerning an unrelated earlier illness were removed. This yielded 723 index examinations from 761 reports; 32 earlier repeat examinations were not audited (Figure 1). The clinical indication was not retrievable, so confounding by indication is shown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reported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common, so the certainty tier of every positive conclusion was tabulated and the analyses repeated with "possible" tiers counted as negative.</w:t>
      </w:r>
    </w:p>
    <w:p>
      <w:pPr>
        <w:spacing w:after="160" w:line="480" w:lineRule="auto"/>
      </w:pPr>
      <w:r>
        <w:t>Report text was classified using a rule-based, clause-level algorithm [23] with explicit negation handling [24] (Supplement 1). A pediatric surgeon, one of the authors, blinded to the operative findings, adjudicated 32 reports. Agreement was 92% (Cohen kappa 0.83, 95% confidence interval [CI] 0.61–1.00) in a stratified random sample of 24; a targeted review of 8 suspected discordances found 5 further under-calls, excluded from the agreement statistics. A two-directional screen of every index examination then returned nine positives that no diagnostic term or sign pattern supported; source review confirmed three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CIs. Between-modality comparison used a generalized estimating equation logistic model [25]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[26,27].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documented before transfer in four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last preoperative test was the UGI series in 75.0% of those who received it, ultrasound in 36.8% (39/106) and CT in 19.2%. UGI detection was higher when it came last (80.0% [144/180] vs 70.0% [42/60] when it did not), which may reflect the pathway rather than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generalized estimating equation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[16,17].</w:t>
      </w:r>
    </w:p>
    <w:p>
      <w:pPr>
        <w:spacing w:after="160" w:line="480" w:lineRule="auto"/>
      </w:pPr>
      <w:r>
        <w:t>The diagnosis was named in all 59 examinations recording a whirlpool and in 5 of the 58 without one (8.6%, 95% CI 3.7–18.6). This contrast is partly definitional because a whirlpool is itself a positivity criterion, although all 59 conclusions also named malrotation explicitly. A whirlpool was recorded in 59 of the 112 children (52.7%) who underwent ultrasound and had operatively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(odds ratio 2.27, 1.38–3.72), whereas the UGI estimate was imprecise (+5.1 percentage points, −4.7 to +15.0; Table 4). Sessions including a great-vessel study rose from 34.2% to 68.4%, and adding this booking indicator reduced the ultrasound difference to +8.4 (−10.6 to +29.2) percentage points (Supplement 2). Whirlpool reporting rose from 39.5% to 55.7%; D3 or the duodenojejunal junction was documented in one of 38 and two of 79 examinations, too few to show a trend.</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with the same ordering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with surgically confirmed intestinal malrotation rarely recorded the elements to which contemporary ultrasound accuracy is attributed: D3 or the duodenojejunal junction in three of 117 examinations, enteric fluid in two. What they did record was the whirlpool sign, present in about half of all examinations and of the children with operatively confirmed volvulus. Such low documentation might be expected with free-text reports and no structured template, as here. Positive reports almost always described a whirlpool (59 of 64).</w:t>
      </w:r>
    </w:p>
    <w:p>
      <w:pPr>
        <w:spacing w:after="160" w:line="480" w:lineRule="auto"/>
      </w:pPr>
      <w:r>
        <w:t>Malrotation or volvulus was named in 54.7% of the surgically confirmed children who underwent ultrasound. The 2025 multicenter series, which excluded non-diagnostic and equivocal examinations, reported sensitivities of 93–97% for malrotation and 97% for volvulus [13], and a meta-analysis found a pooled sensitivity of 94% [11], both in children investigated for suspicion. In a multi-institutional cohort, 25.7% of examinations for malrotation were non-diagnostic on the original report [28]. These figures are not interchangeable: ours is conditioned on confirmed disease and on the indications that selected these children, theirs on those exclusions, so the difference combines case mix, examination quality and technique in proportions this audit cannot separate. What the audit does show is that the elements to which published performance is attributed were almost never documented here: D3 [16,17], the most accurate sign for malrotation in the 2025 series [13]; the duodenojejunal junction [12,15]; and enteric fluid, which was associated with better performance in the meta-analysis [11].</w:t>
      </w:r>
    </w:p>
    <w:p>
      <w:pPr>
        <w:spacing w:after="160" w:line="480" w:lineRule="auto"/>
      </w:pPr>
      <w:r>
        <w:t>The temporal analysis is exploratory: the crude rise was imprecise, the booking indicator was chosen after inspecting the data, and booking may reflect clinical suspicion, which was not recorded and may itself relate to finding a whirlpool. Descriptively, whirlpool reporting rose, whereas too few examinations documented the landmarks to show a trend.</w:t>
      </w:r>
    </w:p>
    <w:p>
      <w:pPr>
        <w:spacing w:after="160" w:line="480" w:lineRule="auto"/>
      </w:pPr>
      <w:r>
        <w:t>Two features of the design make the between-modality differences uninterpretable as accuracy. The reference standard is not independent of the index tests: the surgeon presumably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adjustment cannot correct.</w:t>
      </w:r>
    </w:p>
    <w:p>
      <w:pPr>
        <w:spacing w:after="160" w:line="480" w:lineRule="auto"/>
      </w:pPr>
      <w:r>
        <w:t>The low documentation may bear on departments adopting an ultrasound-first pathway based on sensitivities of 93–97%, and on revisions of the 2020 American College of Radiology guidance [19]: published performance may not apply where examinations differ from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and detection among surgically confirmed children who underwent a test does not transfer to children investigated for suspicion [11,13,14]. The cohort comprises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not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Sex was taken as recorded in the medical record, and sex-specific differences in documentation were not examined. Radiation dose could not be captured. This is one audit cycle at one center, so whether the findings generalize, whether a structured report would raise documentation and whether documentation would raise detection are unknown.</w:t>
      </w:r>
    </w:p>
    <w:p>
      <w:pPr>
        <w:pStyle w:val="Heading1"/>
      </w:pPr>
      <w:r>
        <w:t>Conclusion</w:t>
      </w:r>
    </w:p>
    <w:p>
      <w:pPr>
        <w:spacing w:after="160" w:line="480" w:lineRule="auto"/>
      </w:pPr>
      <w:r>
        <w:t>In routine ultrasound reports for children with surgically confirmed intestinal malrotation, the duodenal landmarks to which published performance is attributed were rarely documented, and positive reports almost always described a whirlpool. These are report-level detection rates, not sensitivities, and they do not argue against ultrasound-first pathways. Documentation can be audited without a reference standard, and the audit criteria in Supplement 4 provide a minimum reporting dataset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w:t>
      </w:r>
      <w:r>
        <w:rPr>
          <w:rFonts w:ascii="Courier New" w:hAnsi="Courier New"/>
        </w:rPr>
        <w:t>Supplement_1_classifier.py</w:t>
      </w:r>
      <w:r>
        <w:t>),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sensitivity analyses that vary the era boundary from 2019 to 2022, restrict midgut volvulus to a documented rotation of 360° or more, or take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Competing interests:</w:t>
      </w:r>
      <w:r>
        <w:t xml:space="preserve"> The authors declare that they have no competing interests.</w:t>
      </w:r>
    </w:p>
    <w:p>
      <w:pPr>
        <w:spacing w:after="160" w:line="480" w:lineRule="auto"/>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pStyle w:val="Heading1"/>
      </w:pPr>
      <w:r>
        <w:t>Declaration of generative AI and AI-assisted technologies in the manuscript preparation process</w:t>
      </w:r>
    </w:p>
    <w:p>
      <w:pPr>
        <w:spacing w:after="160" w:line="480" w:lineRule="auto"/>
      </w:pPr>
      <w:r>
        <w:t>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 No figure was created or altered with a generative AI tool; the figures were produced by analysis code from the study data.</w:t>
      </w:r>
    </w:p>
    <w:p>
      <w:pPr>
        <w:pStyle w:val="Heading1"/>
      </w:pPr>
      <w:r>
        <w:t>References</w:t>
      </w:r>
    </w:p>
    <w:p>
      <w:pPr>
        <w:spacing w:after="60" w:line="480" w:lineRule="auto"/>
      </w:pPr>
      <w:r>
        <w:rPr>
          <w:sz w:val="20"/>
        </w:rPr>
        <w:t>[1] M.B. Marine, B. Karmazyn, Imaging of malrotation in the neonate, Semin. Ultrasound CT MR 35 (2014) 555 – 570. https://doi.org/10.1053/j.sult.2014.08.004</w:t>
      </w:r>
    </w:p>
    <w:p>
      <w:pPr>
        <w:spacing w:after="60" w:line="480" w:lineRule="auto"/>
      </w:pPr>
      <w:r>
        <w:rPr>
          <w:sz w:val="20"/>
        </w:rPr>
        <w:t>[2] S.A. Martinez, S.C. Fligor, S. Tsikis, et al., IMPOWER: a national patient-generated registry for intestinal malrotation exploring diagnosis, treatment, and surgical outcomes, Orphanet J. Rare Dis. 18 (2023) 113. https://doi.org/10.1186/s13023-023-02722-5</w:t>
      </w:r>
    </w:p>
    <w:p>
      <w:pPr>
        <w:spacing w:after="60" w:line="480" w:lineRule="auto"/>
      </w:pPr>
      <w:r>
        <w:rPr>
          <w:sz w:val="20"/>
        </w:rPr>
        <w:t>[3] X. Yang, W. Wang, K. Wang, et al., Identification and treatment of intestinal malrotation with midgut volvulus in childhood: a multicenter retrospective study, Front. Pediatr. 12 (2024) 1390856. https://doi.org/10.3389/fped.2024.1390856</w:t>
      </w:r>
    </w:p>
    <w:p>
      <w:pPr>
        <w:spacing w:after="60" w:line="480" w:lineRule="auto"/>
      </w:pPr>
      <w:r>
        <w:rPr>
          <w:sz w:val="20"/>
        </w:rPr>
        <w:t>[4] H. Menghwani, R. Piplani, E. Yhoshu, B. Jagdish, B.S. Sree, Delayed presentation of malrotation: case series and literature review, J. Indian Assoc. Pediatr. Surg. 28 (2023) 271 – 277. https://doi.org/10.4103/jiaps.jiaps_2_23</w:t>
      </w:r>
    </w:p>
    <w:p>
      <w:pPr>
        <w:spacing w:after="60" w:line="480" w:lineRule="auto"/>
      </w:pPr>
      <w:r>
        <w:rPr>
          <w:sz w:val="20"/>
        </w:rPr>
        <w:t>[5] G. Mattioli, E. Gallo, M.C.Y. Wong, et al., Diagnostic accuracy of upper gastrointestinal series in children with suspected intestinal malrotation, Updates Surg. 76 (2024) 201 – 208. https://doi.org/10.1007/s13304-023-01559-8</w:t>
      </w:r>
    </w:p>
    <w:p>
      <w:pPr>
        <w:spacing w:after="60" w:line="480" w:lineRule="auto"/>
      </w:pPr>
      <w:r>
        <w:rPr>
          <w:sz w:val="20"/>
        </w:rPr>
        <w:t>[6] A.W. Sizemore, K.Z. Rabbani, A. Ladd, K.E. Applegate, Diagnostic performance of the upper gastrointestinal series in the evaluation of children with clinically suspected malrotation, Pediatr. Radiol. 38 (2008) 518 – 528. https://doi.org/10.1007/s00247-008-0762-8</w:t>
      </w:r>
    </w:p>
    <w:p>
      <w:pPr>
        <w:spacing w:after="60" w:line="480" w:lineRule="auto"/>
      </w:pPr>
      <w:r>
        <w:rPr>
          <w:sz w:val="20"/>
        </w:rPr>
        <w:t>[7] K.E. Applegate, J.M. Anderson, E.C. Klatte, Intestinal malrotation in children: a problem-solving approach to the upper gastrointestinal series, Radiographics 26 (2006) 1485 – 1500. https://doi.org/10.1148/rg.265055167</w:t>
      </w:r>
    </w:p>
    <w:p>
      <w:pPr>
        <w:spacing w:after="60" w:line="480" w:lineRule="auto"/>
      </w:pPr>
      <w:r>
        <w:rPr>
          <w:sz w:val="20"/>
        </w:rPr>
        <w:t>[8] A. Smitthimedhin, A. Suarez, R.L. Webb, H.J. Otero, Mimics of malrotation on pediatric upper gastrointestinal series: a pictorial review, Abdom. Radiol. (NY) 43 (2018) 2246 – 2254. https://doi.org/10.1007/s00261-018-1537-9</w:t>
      </w:r>
    </w:p>
    <w:p>
      <w:pPr>
        <w:spacing w:after="60" w:line="480" w:lineRule="auto"/>
      </w:pPr>
      <w:r>
        <w:rPr>
          <w:sz w:val="20"/>
        </w:rPr>
        <w:t>[9] G.A. Taylor, CT appearance of the duodenum and mesenteric vessels in children with normal and abnormal bowel rotation, Pediatr. Radiol. 41 (2011) 1378 – 1383. https://doi.org/10.1007/s00247-011-2118-z</w:t>
      </w:r>
    </w:p>
    <w:p>
      <w:pPr>
        <w:spacing w:after="60" w:line="480" w:lineRule="auto"/>
      </w:pPr>
      <w:r>
        <w:rPr>
          <w:sz w:val="20"/>
        </w:rPr>
        <w:t>[10] K.S. Sodhi, A. Bhatia, A.K. Saxena, K.L.N. Rao, P. Menon, N. Khandelwal, Anticlockwise swirl of mesenteric vessels: a normal CT appearance, retrospective analysis of 200 pediatric patients, Eur. J. Radiol. 83 (2014) 710 – 714. https://doi.org/10.1016/j.ejrad.2013.12.026</w:t>
      </w:r>
    </w:p>
    <w:p>
      <w:pPr>
        <w:spacing w:after="60" w:line="480" w:lineRule="auto"/>
      </w:pPr>
      <w:r>
        <w:rPr>
          <w:sz w:val="20"/>
        </w:rPr>
        <w:t>[11] H.N. Nguyen, M. Kulkarni, J. Jose, et al., Ultrasound for the diagnosis of malrotation and volvulus in children and adolescents: a systematic review and meta-analysis, Arch. Dis. Child. 106 (2021) 1171 – 1178. https://doi.org/10.1136/archdischild-2020-321082</w:t>
      </w:r>
    </w:p>
    <w:p>
      <w:pPr>
        <w:spacing w:after="60" w:line="480" w:lineRule="auto"/>
      </w:pPr>
      <w:r>
        <w:rPr>
          <w:sz w:val="20"/>
        </w:rPr>
        <w:t>[12] H.N. Nguyen, O.M. Navarro, D.A. Bloom, et al., Ultrasound for midgut malrotation and midgut volvulus: AJR expert panel narrative review, AJR Am. J. Roentgenol. 218 (2022) 931 – 939. https://doi.org/10.2214/AJR.21.27242</w:t>
      </w:r>
    </w:p>
    <w:p>
      <w:pPr>
        <w:spacing w:after="60" w:line="480" w:lineRule="auto"/>
      </w:pPr>
      <w:r>
        <w:rPr>
          <w:sz w:val="20"/>
        </w:rPr>
        <w:t>[13] H.N. Nguyen, A.M. El-Ali, D. Van Tassel, et al., Diagnostic performance of ultrasound for diagnosing midgut malrotation and volvulus in children: a multiinstitutional retrospective review, AJR Am. J. Roentgenol. 225 (2025) e2532660. https://doi.org/10.2214/AJR.25.32660</w:t>
      </w:r>
    </w:p>
    <w:p>
      <w:pPr>
        <w:spacing w:after="60" w:line="480" w:lineRule="auto"/>
      </w:pPr>
      <w:r>
        <w:rPr>
          <w:sz w:val="20"/>
        </w:rPr>
        <w:t>[14] V. Binu, C. Nicholson, T. Cundy, et al., Ultrasound imaging as the first line of investigation to diagnose intestinal malrotation in children: safety and efficacy, J. Pediatr. Surg. 56 (2021) 2224 – 2228. https://doi.org/10.1016/j.jpedsurg.2021.04.009</w:t>
      </w:r>
    </w:p>
    <w:p>
      <w:pPr>
        <w:spacing w:after="60" w:line="480" w:lineRule="auto"/>
      </w:pPr>
      <w:r>
        <w:rPr>
          <w:sz w:val="20"/>
        </w:rPr>
        <w:t>[15] F.K. McCurdie, R. Meshaka, G. Leung, J. Billington, T.A. Watson, Ultrasound for infantile midgut malrotation: techniques, pearls, and pitfalls, Pediatr. Radiol. 54 (2024) 2099 – 2111. https://doi.org/10.1007/s00247-024-06067-4</w:t>
      </w:r>
    </w:p>
    <w:p>
      <w:pPr>
        <w:spacing w:after="60" w:line="480" w:lineRule="auto"/>
      </w:pPr>
      <w:r>
        <w:rPr>
          <w:sz w:val="20"/>
        </w:rPr>
        <w:t>[16] R. Menten, R. Reding, V. Godding, D.I. Dumitriu, P. Clapuyt, Sonographic assessment of the retroperitoneal position of the third portion of the duodenum: an indicator of normal intestinal rotation, Pediatr. Radiol. 42 (2012) 941 – 945. https://doi.org/10.1007/s00247-012-2403-5</w:t>
      </w:r>
    </w:p>
    <w:p>
      <w:pPr>
        <w:spacing w:after="60" w:line="480" w:lineRule="auto"/>
      </w:pPr>
      <w:r>
        <w:rPr>
          <w:sz w:val="20"/>
        </w:rPr>
        <w:t>[17] I. Hennessey, R. John, R. Gent, D.W. Goh, Utility of sonographic assessment of the position of the third part of the duodenum using water instillation in intestinal malrotation: a single-center retrospective audit, Pediatr. Radiol. 44 (2014) 387 – 391. https://doi.org/10.1007/s00247-013-2839-2</w:t>
      </w:r>
    </w:p>
    <w:p>
      <w:pPr>
        <w:spacing w:after="60" w:line="480" w:lineRule="auto"/>
      </w:pPr>
      <w:r>
        <w:rPr>
          <w:sz w:val="20"/>
        </w:rPr>
        <w:t>[18] B. Karmazyn, M.D. Cohen, Based on the position of the third portion of the duodenum at sonography, it is not possible to confidently diagnose malrotation, Pediatr. Radiol. 45 (2015) 138 – 139. https://doi.org/10.1007/s00247-014-3068-z</w:t>
      </w:r>
    </w:p>
    <w:p>
      <w:pPr>
        <w:spacing w:after="60" w:line="480" w:lineRule="auto"/>
      </w:pPr>
      <w:r>
        <w:rPr>
          <w:sz w:val="20"/>
        </w:rPr>
        <w:t>[19] Expert Panel on Pediatric Imaging, A.L. Alazraki, C.K. Rigsby, R.S. Iyer, et al., ACR Appropriateness Criteria® Vomiting in Infants, J. Am. Coll. Radiol. 17 (2020) S505 – S515. https://doi.org/10.1016/j.jacr.2020.09.002</w:t>
      </w:r>
    </w:p>
    <w:p>
      <w:pPr>
        <w:spacing w:after="60" w:line="480" w:lineRule="auto"/>
      </w:pPr>
      <w:r>
        <w:rPr>
          <w:sz w:val="20"/>
        </w:rPr>
        <w:t>[20] L.N. Keenan, T. Sewchuran, Audit of upper gastrointestinal tract series examinations for diagnosing intestinal malrotation in a resource-limited radiology department in Southern Africa, Surg. Pract. Sci. 14 (2023) 100183. https://doi.org/10.1016/j.sipas.2023.100183</w:t>
      </w:r>
    </w:p>
    <w:p>
      <w:pPr>
        <w:spacing w:after="60" w:line="480" w:lineRule="auto"/>
      </w:pPr>
      <w:r>
        <w:rPr>
          <w:sz w:val="20"/>
        </w:rPr>
        <w:t>[21] E. von Elm, D.G. Altman, M. Egger, et al., The Strengthening the Reporting of Observational Studies in Epidemiology (STROBE) statement: guidelines for reporting observational studies, Ann. Intern. Med. 147 (2007) 573 – 577. https://doi.org/10.7326/0003-4819-147-8-200710160-00010</w:t>
      </w:r>
    </w:p>
    <w:p>
      <w:pPr>
        <w:spacing w:after="60" w:line="480" w:lineRule="auto"/>
      </w:pPr>
      <w:r>
        <w:rPr>
          <w:sz w:val="20"/>
        </w:rPr>
        <w:t>[22] Y. Shimanuki, T. Aihara, H. Takano, et al., Clockwise whirlpool sign at color Doppler US: an objective and definite sign of midgut volvulus, Radiology 199 (1996) 261 – 264. https://doi.org/10.1148/radiology.199.1.8633156</w:t>
      </w:r>
    </w:p>
    <w:p>
      <w:pPr>
        <w:spacing w:after="60" w:line="480" w:lineRule="auto"/>
      </w:pPr>
      <w:r>
        <w:rPr>
          <w:sz w:val="20"/>
        </w:rPr>
        <w:t>[23] P. López-Úbeda, T. Martín-Noguerol, K. Juluru, A. Luna, Natural language processing in radiology: update on clinical applications, J. Am. Coll. Radiol. 19 (2022) 1271 – 1285. https://doi.org/10.1016/j.jacr.2022.06.016</w:t>
      </w:r>
    </w:p>
    <w:p>
      <w:pPr>
        <w:spacing w:after="60" w:line="480" w:lineRule="auto"/>
      </w:pPr>
      <w:r>
        <w:rPr>
          <w:sz w:val="20"/>
        </w:rPr>
        <w:t>[24] W.W. Chapman, W. Bridewell, P. Hanbury, G.F. Cooper, B.G. Buchanan, A simple algorithm for identifying negated findings and diseases in discharge summaries, J. Biomed. Inform. 34 (2001) 301 – 310. https://doi.org/10.1006/jbin.2001.1029</w:t>
      </w:r>
    </w:p>
    <w:p>
      <w:pPr>
        <w:spacing w:after="60" w:line="480" w:lineRule="auto"/>
      </w:pPr>
      <w:r>
        <w:rPr>
          <w:sz w:val="20"/>
        </w:rPr>
        <w:t>[25] S.L. Zeger, K.Y. Liang, Longitudinal data analysis for discrete and continuous outcomes, Biometrics 42 (1986) 121 – 130. https://doi.org/10.2307/2531248</w:t>
      </w:r>
    </w:p>
    <w:p>
      <w:pPr>
        <w:spacing w:after="60" w:line="480" w:lineRule="auto"/>
      </w:pPr>
      <w:r>
        <w:rPr>
          <w:sz w:val="20"/>
        </w:rPr>
        <w:t>[26] D. Firth, Bias reduction of maximum likelihood estimates, Biometrika 80 (1993) 27 – 38. https://doi.org/10.1093/biomet/80.1.27</w:t>
      </w:r>
    </w:p>
    <w:p>
      <w:pPr>
        <w:spacing w:after="60" w:line="480" w:lineRule="auto"/>
      </w:pPr>
      <w:r>
        <w:rPr>
          <w:sz w:val="20"/>
        </w:rPr>
        <w:t>[27] G. Heinze, M. Schemper, A solution to the problem of separation in logistic regression, Stat. Med. 21 (2002) 2409 – 2419. https://doi.org/10.1002/sim.1047</w:t>
      </w:r>
    </w:p>
    <w:p>
      <w:pPr>
        <w:spacing w:after="60" w:line="480" w:lineRule="auto"/>
      </w:pPr>
      <w:r>
        <w:rPr>
          <w:sz w:val="20"/>
        </w:rPr>
        <w:t>[28] A.M. El-Ali, D.M. Schiess, D. Van Tassel, et al., Ultrasound for midgut volvulus and malrotation: frequency and predictors of a non-diagnostic examination in a multi-institutional cohort, Pediatr. Radiol. 55 (2025) 925 – 935. https://doi.org/10.1007/s00247-024-06141-x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Flow of 711 children in the clinical research database through selection of 503 operative records in 465 children, exclusions after review of the anchor operation, availability of each preoperative index test, and reduction of 793 eligible preoperative reports to 723 index examination episodes. All 52 children who received none of the three index examinations had other preoperative imaging (documented before transfer in four); the breakdown is shown at right. CT, computed tomography; UGI, upper gastrointestinal.</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 CI, confidence interval; CT, computed tomography; UGI, upper gastrointestinal.</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Sex is as recorded in the medical record.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CT, computed tomography;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CI, confidence interval; CT, computed tomography;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CI, confidence interval; CT, computed tomography; UGI, upper gastrointestinal.</w:t>
      </w:r>
    </w:p>
    <w:sectPr w:rsidR="00FC693F" w:rsidRPr="0006063C" w:rsidSect="00034616">
      <w:footerReference w:type="default" r:id="rId9"/>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2026-10-15T14:52:47Z</dcterms:created>
  <dcterms:modified xsi:type="dcterms:W3CDTF">2026-10-15T14:52:47Z</dcterms:modified>
  <cp:category/>
  <cp:contentStatus/>
  <dc:identifier/>
  <dc:language/>
  <cp:version/>
</cp:coreProperties>
</file>