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Supplement 3. Content audit of the CT and upper gastrointestinal series index reports</w:t>
      </w:r>
    </w:p>
    <w:p>
      <w:pPr>
        <w:spacing w:after="160"/>
      </w:pPr>
      <w:r>
        <w:t>Supplement to: "Routine Ultrasound Reports for Pediatric Intestinal Malrotation Rarely Document Duodenal Landmarks: A Single-Center Audit"</w:t>
      </w:r>
    </w:p>
    <w:p>
      <w:pPr>
        <w:spacing w:after="160"/>
      </w:pPr>
      <w:r>
        <w:rPr>
          <w:b/>
        </w:rPr>
        <w:t>Table S18. Documented content of the CT and upper gastrointestinal series index examinations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872"/>
        <w:gridCol w:w="1872"/>
        <w:gridCol w:w="1872"/>
        <w:gridCol w:w="1872"/>
        <w:gridCol w:w="1872"/>
      </w:tblGrid>
      <w:tr>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content</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n (%) of reports</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when documented</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when not documented</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Contrast enhancement</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 (16.0)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40/50 (80%)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125/263 (48%)</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Mesenteric whirl</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115 (36.7)</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113/115 (98%)</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52/198 (26%)</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(23.3)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43/73 (59%)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122/240 (51%)</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Mesenteric-vessel relationship</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42 (13.4)</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33/42 (79%)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132/271 (49%)</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Three-dimensional reconstruction</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 (38.0)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76/119 (64%)</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89/194 (46%)</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152 (51.9)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151/152 (99%)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79/141 (56%)</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Corkscrew / spring appearance</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139 (47.4)</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139/139 (100%)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91/154 (59%)</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Jejunal position</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206 (70.3)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193/206 (94%)</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37/87 (43%)</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Cecal position</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196 (66.9)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176/196 (90%)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54/97 (56%)</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Whole-gastrointestinal study</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278 (94.9)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217/278 (78%)</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13/15 (87%)</w:t>
            </w:r>
          </w:p>
        </w:tc>
      </w:tr>
      <w:tr>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Barium used</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17 (5.8)</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16/17 (94%)</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214/276 (78%)</w:t>
            </w:r>
          </w:p>
        </w:tc>
      </w:tr>
    </w:tbl>
    <w:p>
      <w:pPr>
        <w:spacing w:after="160"/>
      </w:pPr>
    </w:p>
    <w:p>
      <w:pPr>
        <w:spacing w:after="160"/>
      </w:pPr>
      <w:r>
        <w:t>Content was coded from the findings and conclusion text of each index examination episode using the patterns in Supplement 1, Section H. The detection percentages are report-level detection among surgically confirmed children, conditional on whether the element was documented. Unlike the ultrasound items, which were coded by two readers (Supplement 1, Section K), these patterns were not checked against a manual reading. The CT row "Duodenum mentioned" counts any mention of the duodenum in the report text and does not show that duodenal position was assessed. As in the ultrasound audit in the main manuscript, these are associations within routine reports and are not adjusted for indication, age or era: a report that describes a mesenteric whirl is likely to conclude that malrotation is present. The tabulation shows how often each element was documented; it does not measure the strength of these associations.</w:t>
      </w:r>
    </w:p>
    <w:p>
      <w:pPr>
        <w:spacing w:after="160"/>
      </w:pPr>
      <w:r>
        <w:t>Two features of these reports are relevant to the ultrasound findings. The upper gastrointestinal series was the only modality whose routine reports documented the duodenojejunal junction, the anatomical landmark that defines malrotation, in about half of examinations (51.9%), and jejunal position in 70.3%. The mesenteric whirl was documented in only 36.7% of CT examinations, and contrast enhancement was used in only 16.0%. Almost all CT reports that described a mesenteric whirl were classified as positive (Table S18), but only about one in three CT reports described one.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2026-10-15T15:15:27Z</dcterms:created>
  <dcterms:modified xsi:type="dcterms:W3CDTF">2026-10-15T15:15:27Z</dcterms:modified>
  <cp:category/>
  <cp:contentStatus/>
  <dc:identifier/>
  <dc:language/>
  <cp:version/>
</cp:coreProperties>
</file>