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Cover Letter</w:t>
      </w:r>
    </w:p>
    <w:p>
      <w:pPr>
        <w:spacing w:after="160"/>
      </w:pPr>
      <w:r>
        <w:t>Jun Yang, MD</w:t>
      </w:r>
    </w:p>
    <w:p>
      <w:pPr>
        <w:spacing w:after="160"/>
      </w:pPr>
      <w:r>
        <w:t>Department of General Surgery, Wuhan Children's Hospital (Wuhan Maternal and Child Healthcare Hospital),</w:t>
      </w:r>
    </w:p>
    <w:p>
      <w:pPr>
        <w:spacing w:after="160"/>
      </w:pPr>
      <w:r>
        <w:t>Tongji Medical College, Huazhong University of Science and Technology, Wuhan 430016, Hubei, China</w:t>
      </w:r>
    </w:p>
    <w:p>
      <w:pPr>
        <w:spacing w:after="160"/>
      </w:pPr>
      <w:r>
        <w:t>Email: yjun201602@163.com  |  Telephone: +86 186 2713 9911  |  ORCID: 0009-0006-0669-4340</w:t>
      </w:r>
    </w:p>
    <w:p>
      <w:pPr>
        <w:spacing w:after="160"/>
      </w:pPr>
      <w:r>
        <w:t>October 15, 2026</w:t>
      </w:r>
    </w:p>
    <w:p>
      <w:pPr>
        <w:spacing w:after="160"/>
      </w:pPr>
      <w:r>
        <w:t>The Editor-in-Chief</w:t>
      </w:r>
    </w:p>
    <w:p>
      <w:pPr>
        <w:spacing w:after="160"/>
      </w:pPr>
      <w:r>
        <w:rPr>
          <w:i/>
        </w:rPr>
        <w:t>Journal of Ultrasound in Medicine</w:t>
      </w:r>
    </w:p>
    <w:p>
      <w:pPr>
        <w:spacing w:after="160"/>
      </w:pPr>
      <w:r>
        <w:t>Dear Editor,</w:t>
      </w:r>
    </w:p>
    <w:p>
      <w:pPr>
        <w:spacing w:after="160"/>
      </w:pPr>
      <w:r>
        <w:t xml:space="preserve">We are pleased to submit our Original Article, "Routine Ultrasound Reports for Pediatric Intestinal Malrotation Rarely Document Duodenal Landmarks: A Single-Center Audit," for consideration by the </w:t>
      </w:r>
      <w:r>
        <w:rPr>
          <w:i/>
        </w:rPr>
        <w:t>Journal of Ultrasound in Medicine</w:t>
      </w:r>
      <w:r>
        <w:t>.</w:t>
      </w:r>
    </w:p>
    <w:p>
      <w:pPr>
        <w:spacing w:after="160"/>
      </w:pPr>
      <w:r>
        <w:t xml:space="preserve">Ultrasound-first pathways for suspected intestinal malrotation are being adopted on the basis of studies reporting sensitivities of 93–97%, a performance attributed to assessment of the third portion of the duodenum (D3), the duodenojejunal junction and the mesenteric vessels. Most of that evidence postdates the 2020 American College of Radiology Appropriateness Criteria, which rate ultrasound as "may be appropriate" and the upper gastrointestinal series as "usually appropriate" for bilious vomiting in infants older than 2 days. To our knowledge, no study has examined at scale whether routine reports document those elements or how documentation relates to whether the diagnosis is reported. The question concerns how sonography is performed and reported in a pediatric surgical emergency, namely the content and quality of routine ultrasound reports, rather than the intrinsic accuracy of a modality, which is why we are submitting it to the </w:t>
      </w:r>
      <w:r>
        <w:rPr>
          <w:i/>
        </w:rPr>
        <w:t>Journal of Ultrasound in Medicine</w:t>
      </w:r>
      <w:r>
        <w:t>.</w:t>
      </w:r>
    </w:p>
    <w:p>
      <w:pPr>
        <w:spacing w:after="160"/>
      </w:pPr>
      <w:r>
        <w:t xml:space="preserve">We audited 13.6 years of routine reports at a tertiary children's hospital: 723 preoperative index examinations in 398 children with surgically confirmed malrotation. Each examination was coded for whether it named the diagnosis and for the technical elements it documented; the ultrasound elements were coded independently by an ultrasound physician and a pediatric surgeon. </w:t>
      </w:r>
      <w:r>
        <w:rPr>
          <w:b/>
        </w:rPr>
        <w:t>Only three of 117 ultrasound examinations (2.6%) documented D3 or the duodenojejunal junction</w:t>
      </w:r>
      <w:r>
        <w:t>; the superior mesenteric artery–vein relationship was stated in three, enteric fluid administration was recorded twice, and a whirlpool sign was reported in 50.4%. Detection was closely tied to the whirlpool: 5 of the 58 examinations without a reported whirlpool named the diagnosis, and a whirlpool was reported in only 59 of the 112 children with operatively confirmed midgut volvulus. Positive ultrasound reports almost always described a whirlpool, a sign of volvulus.</w:t>
      </w:r>
    </w:p>
    <w:p>
      <w:pPr>
        <w:spacing w:after="160"/>
      </w:pPr>
      <w:r>
        <w:t>Whirlpool reporting rose in the later years of the study, whereas the duodenal landmarks stayed rare. The change in ultrasound detection over time is reported as an exploratory analysis: the difference between eras was imprecise, and its association with how examinations were booked cannot be separated from the indication for the test.</w:t>
      </w:r>
    </w:p>
    <w:p>
      <w:pPr>
        <w:spacing w:after="160"/>
      </w:pPr>
      <w:r>
        <w:t>The implication for ultrasound services and radiology departments is practical, and the submission provides the means to act on it. Unlike accuracy, documentation needs no reference standard and can be audited prospectively in every examination requested for suspected malrotation. Supplement 4 sets out the audited elements as a minimum reporting dataset, with the documentation rates found here as the baseline against which a department can re-audit after introducing a structured report. The method used to classify the free-text reports, a transparent rule-based algorithm with negation handling and blinded adjudication, is provided in full with a runnable implementation, so that it can be applied wherever reports are stored electronically.</w:t>
      </w:r>
    </w:p>
    <w:p>
      <w:pPr>
        <w:spacing w:after="160"/>
      </w:pPr>
      <w:r>
        <w:t>The design has clear limits. The cohort consists only of surgically confirmed cases, so the study estimates report-level detection, not sensitivity; specificity, predictive values and any ranking of ultrasound, CT and the upper gastrointestinal series can be neither estimated nor claimed. We therefore use the term "detection rate" throughout, follow STROBE rather than STARD (checklist enclosed), show the confounding by indication instead of adjusting it away, and state that these data do not argue against ultrasound-first pathways. This is a single-center, first audit cycle, and whether a structured report changes documentation or detection has not been tested.</w:t>
      </w:r>
    </w:p>
    <w:p>
      <w:pPr>
        <w:spacing w:after="160"/>
      </w:pPr>
      <w:r>
        <w:t>The manuscript is original, has not been published, is not under consideration elsewhere, and all seven authors have approved the submission and agree to be accountable for the work. The study was approved by the institutional review board with waiver of informed consent. The authors declare no competing interests, the study received no specific funding, and ICMJE disclosure forms for all authors are submitted with the manuscript. The use of a generative artificial intelligence tool in preparing the manuscript is described in the Acknowledgments.</w:t>
      </w:r>
    </w:p>
    <w:p>
      <w:pPr>
        <w:spacing w:after="160"/>
      </w:pPr>
      <w:r>
        <w:t>Thank you for considering our work.</w:t>
      </w:r>
    </w:p>
    <w:p>
      <w:pPr>
        <w:spacing w:after="160"/>
      </w:pPr>
      <w:r>
        <w:t>Sincerely,</w:t>
      </w:r>
    </w:p>
    <w:p>
      <w:pPr>
        <w:spacing w:after="160"/>
      </w:pPr>
      <w:r>
        <w:t>Jun Yang, MD</w:t>
      </w:r>
    </w:p>
    <w:p>
      <w:pPr>
        <w:spacing w:after="160"/>
      </w:pPr>
      <w:r>
        <w:t>On behalf of all authors (Jun Shu, Fei Peng, Kai Zheng, Haiyan Lei, Zhengliang Meng, Hongqiang Bian, Jun Yang)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2026-10-15T12:49:14Z</dcterms:created>
  <dcterms:modified xsi:type="dcterms:W3CDTF">2026-10-15T12:49:14Z</dcterms:modified>
  <cp:category/>
  <cp:contentStatus/>
  <dc:identifier/>
  <dc:language/>
  <cp:version/>
</cp:coreProperties>
</file>