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intestinal malrotation rarely document duodenal landmarks: a report-level audit of 740 preoperative examinations in 465 surgically confirmed children</w:t>
      </w:r>
    </w:p>
    <w:p>
      <w:pPr>
        <w:spacing w:after="160"/>
      </w:pPr>
      <w:r>
        <w:t>[Author names, affiliations, and corresponding-author details have been removed for double-blind peer review and are provided on the separate title page.]</w:t>
      </w:r>
    </w:p>
    <w:p>
      <w:pPr>
        <w:spacing w:after="160"/>
      </w:pPr>
      <w:r>
        <w:t>Word count: 2,997 (main text, excluding abstract, key points, figure and table legends, references and declarations); Tables: 4; Figures: 3; Supplementary: 3 Online Resources</w:t>
      </w:r>
    </w:p>
    <w:p>
      <w:pPr>
        <w:pStyle w:val="Heading1"/>
      </w:pPr>
      <w:r>
        <w:t>Abstract</w:t>
      </w:r>
    </w:p>
    <w:p>
      <w:pPr>
        <w:spacing w:after="160"/>
      </w:pPr>
      <w:r>
        <w:rPr>
          <w:b/>
        </w:rPr>
        <w:t>Objectives</w:t>
      </w:r>
      <w:r>
        <w:t xml:space="preserve"> Ultrasound is increasingly advocated as first-line for suspected intestinal malrotation, on the strength of sensitivities of 93–97% obtained under dedicated protocols assessing the third portion of the duodenum (D3) and the mesenteric vessels. We audited what routine reports document, and which documented findings accompany a positive report.</w:t>
      </w:r>
    </w:p>
    <w:p>
      <w:pPr>
        <w:spacing w:after="160"/>
      </w:pPr>
      <w:r>
        <w:rPr>
          <w:b/>
        </w:rPr>
        <w:t>Methods</w:t>
      </w:r>
      <w:r>
        <w:t xml:space="preserve"> Retrospective case-only report audit at one tertiary children's hospital (December 2012–June 2026). Preoperative index reports for gastrointestinal ultrasound, abdominal CT and the upper gastrointestinal (UGI) contrast series were classified for malrotation detection by a rule-based algorithm with blinded surgeon adjudication, and separately audited for documented technical content. Because the cohort was assembled on surgically confirmed disease, the outcome is report-level detection; sensitivity, specificity and comparative accuracy are not estimable.</w:t>
      </w:r>
    </w:p>
    <w:p>
      <w:pPr>
        <w:spacing w:after="160"/>
      </w:pPr>
      <w:r>
        <w:rPr>
          <w:b/>
        </w:rPr>
        <w:t>Results</w:t>
      </w:r>
      <w:r>
        <w:t xml:space="preserve"> Among 465 children (median age at operation 13 days; volvulus in 86.7%), 410 had at least one index test (740 examinations). No ultrasound report (0/119) documented D3 or the duodenojejunal junction; the mesenteric artery–vein relationship was described in 8.4% and enteric fluid in 0.8%, whereas a whirlpool sign was recorded in 49.6%. Ultrasound reported malrotation in 59 of 59 examinations documenting a whirlpool and 6 of 60 without one. Detection was 78.7% (237/301) for the UGI series, 53.4% (171/320) for CT and 54.6% (65/119) for ultrasound, on non-comparable denominators. Ultrasound detection rose from 41.0% to 61.3% between eras, an effect abolished by adjusting for a shift toward examinations booked as abdominal great-vessel studies (era odds ratio 2.27 to 1.56; examination-type 3.46).</w:t>
      </w:r>
    </w:p>
    <w:p>
      <w:pPr>
        <w:spacing w:after="160"/>
      </w:pPr>
      <w:r>
        <w:rPr>
          <w:b/>
        </w:rPr>
        <w:t>Conclusion</w:t>
      </w:r>
      <w:r>
        <w:t xml:space="preserve"> Routine ultrasound functioned as a whirlpool-dependent test for volvulus rather than a protocolised assessment of duodenal position. The gap between real-world and published ultrasound performance is a gap in technique and reporting, not an intrinsic limitation of ultrasound.</w:t>
      </w:r>
    </w:p>
    <w:p>
      <w:pPr>
        <w:spacing w:after="160"/>
      </w:pPr>
      <w:r>
        <w:rPr>
          <w:b/>
        </w:rPr>
        <w:t>Critical relevance statement</w:t>
      </w:r>
      <w:r>
        <w:t xml:space="preserve"> A department adopting an ultrasound-first pathway on the strength of published sensitivities of 93–97% should first audit whether its own reports document the duodenal landmarks that produced those figures; where they do not, the achievable detection rate is far lower and a negative ultrasound cannot exclude malrotation.</w:t>
      </w:r>
    </w:p>
    <w:p>
      <w:pPr>
        <w:spacing w:after="160"/>
      </w:pPr>
      <w:r>
        <w:rPr>
          <w:b/>
        </w:rPr>
        <w:t>Keywords:</w:t>
      </w:r>
      <w:r>
        <w:t xml:space="preserve"> Intestinal malrotation; Intestinal volvulus; Infant, Newborn; Ultrasonography; Radiology report; Quality improvement</w:t>
      </w:r>
    </w:p>
    <w:p>
      <w:pPr>
        <w:pStyle w:val="Heading1"/>
      </w:pPr>
      <w:r>
        <w:t>Key Points</w:t>
      </w:r>
    </w:p>
    <w:p>
      <w:pPr>
        <w:spacing w:after="160"/>
      </w:pPr>
      <w:r>
        <w:t>• Duodenal landmarks appeared in none of 119 routine ultrasound reports.</w:t>
      </w:r>
    </w:p>
    <w:p>
      <w:pPr>
        <w:spacing w:after="160"/>
      </w:pPr>
      <w:r>
        <w:t>• A recorded whirlpool sign separated positive from negative ultrasound reports.</w:t>
      </w:r>
    </w:p>
    <w:p>
      <w:pPr>
        <w:spacing w:after="160"/>
      </w:pPr>
      <w:r>
        <w:t>• Detection improved when the examination changed, not as time passed.</w:t>
      </w:r>
    </w:p>
    <w:p>
      <w:pPr>
        <w:pStyle w:val="Heading1"/>
      </w:pPr>
      <w:r>
        <w:t>Introduction</w:t>
      </w:r>
    </w:p>
    <w:p>
      <w:pPr>
        <w:spacing w:after="160"/>
      </w:pPr>
      <w:r>
        <w:t>Intestinal malrotation predisposes to midgut volvulus, which can progress within hours to bowel ischaemia, necrosis, short-bowel syndrome or death [1, 2]. Bilious vomiting in a neonate remains a surgical emergency until malrotation with volvulus has been excluded, although older children may present atypically and be diagnosed late [3, 4].</w:t>
      </w:r>
    </w:p>
    <w:p>
      <w:pPr>
        <w:spacing w:after="160"/>
      </w:pPr>
      <w:r>
        <w:t>The upper gastrointestinal (UGI) contrast series has long been the reference imaging test, based on the position of the duodenojejunal junction and the course of the proximal small bowel [5, 6]. Over the past decade the field has moved toward ultrasound: contemporary series report sensitivities of 93–97% under dedicated protocols, a systematic review of 17 studies and 2,257 children estimated a pooled sensitivity of 94% [7–9, 12], and a multicentre study of 539 children investigated for clinical suspicion supported ultrasound as a safe first-line test [19]. That performance is attributed not to ultrasound in the abstract but to specific technical elements: the third portion of the duodenum (D3), the duodenojejunal junction, the superior mesenteric artery–vein relationship, enteric fluid and dynamic graded compression [9, 12, 18, 20, 21] — elements the same literature records as demanding and not universally achievable, with D3 position alone argued insufficient for a confident diagnosis [22].</w:t>
      </w:r>
    </w:p>
    <w:p>
      <w:pPr>
        <w:spacing w:after="160"/>
      </w:pPr>
      <w:r>
        <w:t>This creates a question those studies cannot answer. They describe what ultrasound achieves under favourable conditions, by readers who know malrotation is the question; what clinicians act on is the routine report issued during unselected care. If the elements driving published accuracy are frequently absent from routine examinations, a department adopting an ultrasound-first pathway on the strength of the published figures may not obtain the published performance. To our knowledge, no study has examined the content of routine malrotation ultrasound reports at scale, or linked it to whether the diagnosis was reported.</w:t>
      </w:r>
    </w:p>
    <w:p>
      <w:pPr>
        <w:spacing w:after="160"/>
      </w:pPr>
      <w:r>
        <w:t>We therefore audited 13.5 years of routine reports at a tertiary children's hospital. Because every child had surgically confirmed malrotation, the study measures how often the disease was named in the report and why — not how accurate the tests are, a constraint that governs every result below.</w:t>
      </w:r>
    </w:p>
    <w:p>
      <w:pPr>
        <w:pStyle w:val="Heading1"/>
      </w:pPr>
      <w:r>
        <w:t>Methods</w:t>
      </w:r>
    </w:p>
    <w:p>
      <w:pPr>
        <w:pStyle w:val="Heading2"/>
      </w:pPr>
      <w:r>
        <w:t>Design, terminology and what this study can and cannot estimate</w:t>
      </w:r>
    </w:p>
    <w:p>
      <w:pPr>
        <w:spacing w:after="160"/>
      </w:pPr>
      <w:r>
        <w:t>This was a retrospective, single-centre, case-only report audit, approved by the institutional review board with waiver of informed consent. Reporting follows STROBE [14]; STARD was deliberately not used, because the design does not meet the definition of a diagnostic accuracy study.</w:t>
      </w:r>
    </w:p>
    <w:p>
      <w:pPr>
        <w:spacing w:after="160"/>
      </w:pPr>
      <w:r>
        <w:t xml:space="preserve">The cohort contains no children in whom malrotation was suspected and excluded, with three consequences applied throughout. The outcome is the </w:t>
      </w:r>
      <w:r>
        <w:rPr>
          <w:b/>
        </w:rPr>
        <w:t>report-level detection rate among surgically confirmed cases</w:t>
      </w:r>
      <w:r>
        <w:t xml:space="preserve">; we do not call it "sensitivity", which would invite the inference that the figure applies to children investigated for suspected malrotation. Specificity, predictive values and any accuracy-based ranking are not estimable and are neither reported nor implied. And each modality was ordered for different reasons in overlapping but non-identical groups, so the rates rest on indication-selected denominators and between-modality models describe practice, not test performance. We distinguish </w:t>
      </w:r>
      <w:r>
        <w:rPr>
          <w:i/>
        </w:rPr>
        <w:t>malrotation</w:t>
      </w:r>
      <w:r>
        <w:t xml:space="preserve">, </w:t>
      </w:r>
      <w:r>
        <w:rPr>
          <w:i/>
        </w:rPr>
        <w:t>midgut volvulus</w:t>
      </w:r>
      <w:r>
        <w:t xml:space="preserve"> and </w:t>
      </w:r>
      <w:r>
        <w:rPr>
          <w:i/>
        </w:rPr>
        <w:t>malrotation with volvulus</w:t>
      </w:r>
      <w:r>
        <w:t xml:space="preserve"> throughout: the whirlpool sign is a sign of volvulus, not of malrotation in isolation.</w:t>
      </w:r>
    </w:p>
    <w:p>
      <w:pPr>
        <w:pStyle w:val="Heading2"/>
      </w:pPr>
      <w:r>
        <w:t>Participants, reference standard and index tests</w:t>
      </w:r>
    </w:p>
    <w:p>
      <w:pPr>
        <w:spacing w:after="160"/>
      </w:pPr>
      <w:r>
        <w:t>We identified consecutive children who underwent surgery for intestinal malrotation between December 2012 and June 2026 from the institutional clinical and surgical records database. Inclusion required an operative diagnosis of malrotation, which served as the reference standard. Midgut volvulus was defined by an explicit operative statement of volvulus or a documented degree of midgut or mesenteric rotation; isolated gastric volvulus and torsion of other organs were excluded. No child meeting the criterion was excluded and no sample-size calculation was performed. Age at operation was age at admission for the operative encounter plus the interval to operation.</w:t>
      </w:r>
    </w:p>
    <w:p>
      <w:pPr>
        <w:spacing w:after="160"/>
      </w:pPr>
      <w:r>
        <w:t>Three preoperative modalities were evaluated: gastrointestinal and mesenteric-vessel ultrasound (examinations coded as gastrointestinal, abdominal great-vessel or pyloric ultrasound), abdominal CT (overall and by contrast enhancement), and the UGI contrast series; contrast enema studies of the colon were not counted. For each child and modality the preoperative examination closest to the operation was the index test.</w:t>
      </w:r>
    </w:p>
    <w:p>
      <w:pPr>
        <w:spacing w:after="160"/>
      </w:pPr>
      <w:r>
        <w:t>Examinations were reported during routine care by radiologists unaware of the operative findings but not blinded to clinical history or previous imaging, within the general paediatric ultrasound service rather than by a designated reader group. Reports were free text and no structured malrotation template was in use at any point. On enquiry, the department reports no material change in ultrasound equipment, reporting staff or protocol during the study period, attributing the change in practice from about 2021 to growing awareness of the diagnosis — an account given retrospectively rather than recorded at the time. Because CT was ascertained from report text rather than a dose registry, radiation dose metrics could not be captured.</w:t>
      </w:r>
    </w:p>
    <w:p>
      <w:pPr>
        <w:pStyle w:val="Heading2"/>
      </w:pPr>
      <w:r>
        <w:t>Report-content audit and classification</w:t>
      </w:r>
    </w:p>
    <w:p>
      <w:pPr>
        <w:spacing w:after="160"/>
      </w:pPr>
      <w:r>
        <w:t>Each index report was separately coded for documented technical content by pre-specified text patterns applied to the findings and conclusion sections — for ultrasound, D3 or the duodenojejunal junction, the superior mesenteric artery–vein relationship and vessel inversion, a whirlpool appearance, enteric fluid, limiting bowel gas, caecal position and bedside performance; for CT and the UGI series, the corresponding landmarks (Online Resource 1). The audit is a lower bound on what was performed (see Limitations).</w:t>
      </w:r>
    </w:p>
    <w:p>
      <w:pPr>
        <w:spacing w:after="160"/>
      </w:pPr>
      <w:r>
        <w:t>An examination was positive when its conclusion raised malrotation, including tentative phrasing, or a modality-appropriate sign; explicit negation was negative and isolated gastric volvulus was not counted. Because tentative phrasing is standard in our department, we tabulated the certainty tier of every positive conclusion and repeated the analyses with all "possible"-tier conclusions reclassified as negative.</w:t>
      </w:r>
    </w:p>
    <w:p>
      <w:pPr>
        <w:spacing w:after="160"/>
      </w:pPr>
      <w:r>
        <w:t>Report text was classified with a rule-based, clause-level algorithm with explicit negation handling [15]; the rule dictionary, negation logic, priority rules and worked misclassification examples are in Online Resource 1. A paediatric surgeon blinded to the operative findings adjudicated 32 reports: in a stratified random sample of 24, algorithm–adjudicator agreement was 92% (Cohen kappa 0.83), and a targeted review of the 8 reports in which a malrotation sign co-occurred with a negative machine label found 5 further under-calls, which were corrected but, being selected as suspected discordances, are excluded from the agreement statistics. All discordances were machine under-calls, so detection rates are conservative. Validation rested on one adjudicator, so interobserver agreement could not be estimated.</w:t>
      </w:r>
    </w:p>
    <w:p>
      <w:pPr>
        <w:pStyle w:val="Heading2"/>
      </w:pPr>
      <w:r>
        <w:t>Statistical analysis</w:t>
      </w:r>
    </w:p>
    <w:p>
      <w:pPr>
        <w:spacing w:after="160"/>
      </w:pPr>
      <w:r>
        <w:t>Detection rates are presented with Wilson 95% confidence intervals (CIs), with denominators shown wherever a rate appears, including in figures. Characteristics of the children receiving each index test are tabulated to display confounding by indication rather than to adjust it away.</w:t>
      </w:r>
    </w:p>
    <w:p>
      <w:pPr>
        <w:spacing w:after="160"/>
      </w:pPr>
      <w:r>
        <w:t>Between-modality comparison used a generalised estimating equation (GEE) logistic model [16] with patient-level clustering and cluster-robust standard errors, unadjusted and adjusted for era (2012–2018 vs 2019–2026) and age category. A pre-specified modality-by-volvulus interaction was not estimable, because no ultrasound examination was positive among the six children without volvulus (complete separation). In the subgroup receiving all three modalities, detection was compared with Cochran's Q and the exact McNemar test, repeated where all three fell within 48 h and 24 h (Online Resource 2). The temporal change was examined with modality-specific logistic models of detection on era, before and after adding that modality's content variable: for ultrasound, whether the study was booked and reported under the abdominal great-vessel item rather than the gastrointestinal ultrasound item (great-vessel-coded), and for CT, contrast enhancement. Attenuation of the era coefficient was read as evidence that the change operated through examination content rather than calendar time. P values were not adjusted for multiplicity. Analyses used Python 3.12 (statsmodels 0.15, SciPy 1.17).</w:t>
      </w:r>
    </w:p>
    <w:p>
      <w:pPr>
        <w:pStyle w:val="Heading1"/>
      </w:pPr>
      <w:r>
        <w:t>Results</w:t>
      </w:r>
    </w:p>
    <w:p>
      <w:pPr>
        <w:pStyle w:val="Heading2"/>
      </w:pPr>
      <w:r>
        <w:t>Cohort, and what the children without an index test received</w:t>
      </w:r>
    </w:p>
    <w:p>
      <w:pPr>
        <w:spacing w:after="160"/>
      </w:pPr>
      <w:r>
        <w:t>Of 465 children with surgically confirmed malrotation, 352 (75.7%) were male, median age at operation was 13 days (range 0–14.2 years), 302 (64.9%) were neonates and 403 (86.7%) had midgut volvulus. An index examination was available in 301 children for the UGI series, 320 for CT and 119 for ultrasound; 410 had at least one (740 index examinations) and 59 had all three (Table 1, Fig. 1).</w:t>
      </w:r>
    </w:p>
    <w:p>
      <w:pPr>
        <w:spacing w:after="160"/>
      </w:pPr>
      <w:r>
        <w:t>Fifty-five children (11.8%) had none of the three index examinations, but none was operated on without imaging: 46 had radiographs, 12 a contrast enema, 22 ultrasound of another region and 7 CT of another region; the 5 with no in-hospital study each had imaging documented before transfer, three already reporting malrotation or volvulus. They were older than the imaged children (median 63 vs 12 days), less often neonates (41.8% vs 68.0%) and less often had volvulus (76.4% vs 88.0%), so their exclusion is informative missingness rather than random loss.</w:t>
      </w:r>
    </w:p>
    <w:p>
      <w:pPr>
        <w:spacing w:after="160"/>
      </w:pPr>
      <w:r>
        <w:rPr>
          <w:b/>
        </w:rPr>
        <w:t>Table 1. Characteristics of the 465 children with surgically confirmed intestinal malrotation, overall and according to which preoperative index test they received</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Characteristic</w:t>
            </w:r>
          </w:p>
        </w:tc>
        <w:tc>
          <w:tcPr>
            <w:tcW w:type="dxa" w:w="1560"/>
          </w:tcPr>
          <w:p>
            <w:r/>
            <w:r>
              <w:rPr>
                <w:rFonts w:ascii="Times New Roman" w:hAnsi="Times New Roman"/>
                <w:b/>
                <w:sz w:val="17"/>
              </w:rPr>
              <w:t>All children</w:t>
            </w:r>
          </w:p>
        </w:tc>
        <w:tc>
          <w:tcPr>
            <w:tcW w:type="dxa" w:w="1560"/>
          </w:tcPr>
          <w:p>
            <w:r/>
            <w:r>
              <w:rPr>
                <w:rFonts w:ascii="Times New Roman" w:hAnsi="Times New Roman"/>
                <w:b/>
                <w:sz w:val="17"/>
              </w:rPr>
              <w:t>Received UGI series</w:t>
            </w:r>
          </w:p>
        </w:tc>
        <w:tc>
          <w:tcPr>
            <w:tcW w:type="dxa" w:w="1560"/>
          </w:tcPr>
          <w:p>
            <w:r/>
            <w:r>
              <w:rPr>
                <w:rFonts w:ascii="Times New Roman" w:hAnsi="Times New Roman"/>
                <w:b/>
                <w:sz w:val="17"/>
              </w:rPr>
              <w:t>Received CT</w:t>
            </w:r>
          </w:p>
        </w:tc>
        <w:tc>
          <w:tcPr>
            <w:tcW w:type="dxa" w:w="1560"/>
          </w:tcPr>
          <w:p>
            <w:r/>
            <w:r>
              <w:rPr>
                <w:rFonts w:ascii="Times New Roman" w:hAnsi="Times New Roman"/>
                <w:b/>
                <w:sz w:val="17"/>
              </w:rPr>
              <w:t>Received ultrasound</w:t>
            </w:r>
          </w:p>
        </w:tc>
        <w:tc>
          <w:tcPr>
            <w:tcW w:type="dxa" w:w="1560"/>
          </w:tcPr>
          <w:p>
            <w:r/>
            <w:r>
              <w:rPr>
                <w:rFonts w:ascii="Times New Roman" w:hAnsi="Times New Roman"/>
                <w:b/>
                <w:sz w:val="17"/>
              </w:rPr>
              <w:t>Received none of the three</w:t>
            </w:r>
          </w:p>
        </w:tc>
      </w:tr>
      <w:tr>
        <w:tc>
          <w:tcPr>
            <w:tcW w:type="dxa" w:w="1560"/>
          </w:tcPr>
          <w:p>
            <w:r/>
            <w:r>
              <w:rPr>
                <w:rFonts w:ascii="Times New Roman" w:hAnsi="Times New Roman"/>
                <w:sz w:val="17"/>
              </w:rPr>
              <w:t>Children, n</w:t>
            </w:r>
          </w:p>
        </w:tc>
        <w:tc>
          <w:tcPr>
            <w:tcW w:type="dxa" w:w="1560"/>
          </w:tcPr>
          <w:p>
            <w:r/>
            <w:r>
              <w:rPr>
                <w:rFonts w:ascii="Times New Roman" w:hAnsi="Times New Roman"/>
                <w:sz w:val="17"/>
              </w:rPr>
              <w:t>465</w:t>
            </w:r>
          </w:p>
        </w:tc>
        <w:tc>
          <w:tcPr>
            <w:tcW w:type="dxa" w:w="1560"/>
          </w:tcPr>
          <w:p>
            <w:r/>
            <w:r>
              <w:rPr>
                <w:rFonts w:ascii="Times New Roman" w:hAnsi="Times New Roman"/>
                <w:sz w:val="17"/>
              </w:rPr>
              <w:t>301</w:t>
            </w:r>
          </w:p>
        </w:tc>
        <w:tc>
          <w:tcPr>
            <w:tcW w:type="dxa" w:w="1560"/>
          </w:tcPr>
          <w:p>
            <w:r/>
            <w:r>
              <w:rPr>
                <w:rFonts w:ascii="Times New Roman" w:hAnsi="Times New Roman"/>
                <w:sz w:val="17"/>
              </w:rPr>
              <w:t>320</w:t>
            </w:r>
          </w:p>
        </w:tc>
        <w:tc>
          <w:tcPr>
            <w:tcW w:type="dxa" w:w="1560"/>
          </w:tcPr>
          <w:p>
            <w:r/>
            <w:r>
              <w:rPr>
                <w:rFonts w:ascii="Times New Roman" w:hAnsi="Times New Roman"/>
                <w:sz w:val="17"/>
              </w:rPr>
              <w:t>119</w:t>
            </w:r>
          </w:p>
        </w:tc>
        <w:tc>
          <w:tcPr>
            <w:tcW w:type="dxa" w:w="1560"/>
          </w:tcPr>
          <w:p>
            <w:r/>
            <w:r>
              <w:rPr>
                <w:rFonts w:ascii="Times New Roman" w:hAnsi="Times New Roman"/>
                <w:sz w:val="17"/>
              </w:rPr>
              <w:t>55</w:t>
            </w:r>
          </w:p>
        </w:tc>
      </w:tr>
      <w:tr>
        <w:tc>
          <w:tcPr>
            <w:tcW w:type="dxa" w:w="1560"/>
          </w:tcPr>
          <w:p>
            <w:r/>
            <w:r>
              <w:rPr>
                <w:rFonts w:ascii="Times New Roman" w:hAnsi="Times New Roman"/>
                <w:sz w:val="17"/>
              </w:rPr>
              <w:t>Age at operation, median (IQR), days</w:t>
            </w:r>
          </w:p>
        </w:tc>
        <w:tc>
          <w:tcPr>
            <w:tcW w:type="dxa" w:w="1560"/>
          </w:tcPr>
          <w:p>
            <w:r/>
            <w:r>
              <w:rPr>
                <w:rFonts w:ascii="Times New Roman" w:hAnsi="Times New Roman"/>
                <w:sz w:val="17"/>
              </w:rPr>
              <w:t>13 (7–85)</w:t>
            </w:r>
          </w:p>
        </w:tc>
        <w:tc>
          <w:tcPr>
            <w:tcW w:type="dxa" w:w="1560"/>
          </w:tcPr>
          <w:p>
            <w:r/>
            <w:r>
              <w:rPr>
                <w:rFonts w:ascii="Times New Roman" w:hAnsi="Times New Roman"/>
                <w:sz w:val="17"/>
              </w:rPr>
              <w:t>12 (8–35)</w:t>
            </w:r>
          </w:p>
        </w:tc>
        <w:tc>
          <w:tcPr>
            <w:tcW w:type="dxa" w:w="1560"/>
          </w:tcPr>
          <w:p>
            <w:r/>
            <w:r>
              <w:rPr>
                <w:rFonts w:ascii="Times New Roman" w:hAnsi="Times New Roman"/>
                <w:sz w:val="17"/>
              </w:rPr>
              <w:t>11 (6–47)</w:t>
            </w:r>
          </w:p>
        </w:tc>
        <w:tc>
          <w:tcPr>
            <w:tcW w:type="dxa" w:w="1560"/>
          </w:tcPr>
          <w:p>
            <w:r/>
            <w:r>
              <w:rPr>
                <w:rFonts w:ascii="Times New Roman" w:hAnsi="Times New Roman"/>
                <w:sz w:val="17"/>
              </w:rPr>
              <w:t>10 (5–27)</w:t>
            </w:r>
          </w:p>
        </w:tc>
        <w:tc>
          <w:tcPr>
            <w:tcW w:type="dxa" w:w="1560"/>
          </w:tcPr>
          <w:p>
            <w:r/>
            <w:r>
              <w:rPr>
                <w:rFonts w:ascii="Times New Roman" w:hAnsi="Times New Roman"/>
                <w:sz w:val="17"/>
              </w:rPr>
              <w:t>63 (4–932)</w:t>
            </w:r>
          </w:p>
        </w:tc>
      </w:tr>
      <w:tr>
        <w:tc>
          <w:tcPr>
            <w:tcW w:type="dxa" w:w="1560"/>
          </w:tcPr>
          <w:p>
            <w:r/>
            <w:r>
              <w:rPr>
                <w:rFonts w:ascii="Times New Roman" w:hAnsi="Times New Roman"/>
                <w:sz w:val="17"/>
              </w:rPr>
              <w:t>Neonate ≤28 days, n (%)</w:t>
            </w:r>
          </w:p>
        </w:tc>
        <w:tc>
          <w:tcPr>
            <w:tcW w:type="dxa" w:w="1560"/>
          </w:tcPr>
          <w:p>
            <w:r/>
            <w:r>
              <w:rPr>
                <w:rFonts w:ascii="Times New Roman" w:hAnsi="Times New Roman"/>
                <w:sz w:val="17"/>
              </w:rPr>
              <w:t>302 (64.9)</w:t>
            </w:r>
          </w:p>
        </w:tc>
        <w:tc>
          <w:tcPr>
            <w:tcW w:type="dxa" w:w="1560"/>
          </w:tcPr>
          <w:p>
            <w:r/>
            <w:r>
              <w:rPr>
                <w:rFonts w:ascii="Times New Roman" w:hAnsi="Times New Roman"/>
                <w:sz w:val="17"/>
              </w:rPr>
              <w:t>216 (71.8)</w:t>
            </w:r>
          </w:p>
        </w:tc>
        <w:tc>
          <w:tcPr>
            <w:tcW w:type="dxa" w:w="1560"/>
          </w:tcPr>
          <w:p>
            <w:r/>
            <w:r>
              <w:rPr>
                <w:rFonts w:ascii="Times New Roman" w:hAnsi="Times New Roman"/>
                <w:sz w:val="17"/>
              </w:rPr>
              <w:t>222 (69.4)</w:t>
            </w:r>
          </w:p>
        </w:tc>
        <w:tc>
          <w:tcPr>
            <w:tcW w:type="dxa" w:w="1560"/>
          </w:tcPr>
          <w:p>
            <w:r/>
            <w:r>
              <w:rPr>
                <w:rFonts w:ascii="Times New Roman" w:hAnsi="Times New Roman"/>
                <w:sz w:val="17"/>
              </w:rPr>
              <w:t>90 (75.6)</w:t>
            </w:r>
          </w:p>
        </w:tc>
        <w:tc>
          <w:tcPr>
            <w:tcW w:type="dxa" w:w="1560"/>
          </w:tcPr>
          <w:p>
            <w:r/>
            <w:r>
              <w:rPr>
                <w:rFonts w:ascii="Times New Roman" w:hAnsi="Times New Roman"/>
                <w:sz w:val="17"/>
              </w:rPr>
              <w:t>23 (41.8)</w:t>
            </w:r>
          </w:p>
        </w:tc>
      </w:tr>
      <w:tr>
        <w:tc>
          <w:tcPr>
            <w:tcW w:type="dxa" w:w="1560"/>
          </w:tcPr>
          <w:p>
            <w:r/>
            <w:r>
              <w:rPr>
                <w:rFonts w:ascii="Times New Roman" w:hAnsi="Times New Roman"/>
                <w:sz w:val="17"/>
              </w:rPr>
              <w:t>Age &gt;1 year, n (%)</w:t>
            </w:r>
          </w:p>
        </w:tc>
        <w:tc>
          <w:tcPr>
            <w:tcW w:type="dxa" w:w="1560"/>
          </w:tcPr>
          <w:p>
            <w:r/>
            <w:r>
              <w:rPr>
                <w:rFonts w:ascii="Times New Roman" w:hAnsi="Times New Roman"/>
                <w:sz w:val="17"/>
              </w:rPr>
              <w:t>93 (20.0)</w:t>
            </w:r>
          </w:p>
        </w:tc>
        <w:tc>
          <w:tcPr>
            <w:tcW w:type="dxa" w:w="1560"/>
          </w:tcPr>
          <w:p>
            <w:r/>
            <w:r>
              <w:rPr>
                <w:rFonts w:ascii="Times New Roman" w:hAnsi="Times New Roman"/>
                <w:sz w:val="17"/>
              </w:rPr>
              <w:t>45 (15.0)</w:t>
            </w:r>
          </w:p>
        </w:tc>
        <w:tc>
          <w:tcPr>
            <w:tcW w:type="dxa" w:w="1560"/>
          </w:tcPr>
          <w:p>
            <w:r/>
            <w:r>
              <w:rPr>
                <w:rFonts w:ascii="Times New Roman" w:hAnsi="Times New Roman"/>
                <w:sz w:val="17"/>
              </w:rPr>
              <w:t>54 (16.9)</w:t>
            </w:r>
          </w:p>
        </w:tc>
        <w:tc>
          <w:tcPr>
            <w:tcW w:type="dxa" w:w="1560"/>
          </w:tcPr>
          <w:p>
            <w:r/>
            <w:r>
              <w:rPr>
                <w:rFonts w:ascii="Times New Roman" w:hAnsi="Times New Roman"/>
                <w:sz w:val="17"/>
              </w:rPr>
              <w:t>15 (12.6)</w:t>
            </w:r>
          </w:p>
        </w:tc>
        <w:tc>
          <w:tcPr>
            <w:tcW w:type="dxa" w:w="1560"/>
          </w:tcPr>
          <w:p>
            <w:r/>
            <w:r>
              <w:rPr>
                <w:rFonts w:ascii="Times New Roman" w:hAnsi="Times New Roman"/>
                <w:sz w:val="17"/>
              </w:rPr>
              <w:t>16 (29.1)</w:t>
            </w:r>
          </w:p>
        </w:tc>
      </w:tr>
      <w:tr>
        <w:tc>
          <w:tcPr>
            <w:tcW w:type="dxa" w:w="1560"/>
          </w:tcPr>
          <w:p>
            <w:r/>
            <w:r>
              <w:rPr>
                <w:rFonts w:ascii="Times New Roman" w:hAnsi="Times New Roman"/>
                <w:sz w:val="17"/>
              </w:rPr>
              <w:t>Male, n (%)</w:t>
            </w:r>
          </w:p>
        </w:tc>
        <w:tc>
          <w:tcPr>
            <w:tcW w:type="dxa" w:w="1560"/>
          </w:tcPr>
          <w:p>
            <w:r/>
            <w:r>
              <w:rPr>
                <w:rFonts w:ascii="Times New Roman" w:hAnsi="Times New Roman"/>
                <w:sz w:val="17"/>
              </w:rPr>
              <w:t>352 (75.7)</w:t>
            </w:r>
          </w:p>
        </w:tc>
        <w:tc>
          <w:tcPr>
            <w:tcW w:type="dxa" w:w="1560"/>
          </w:tcPr>
          <w:p>
            <w:r/>
            <w:r>
              <w:rPr>
                <w:rFonts w:ascii="Times New Roman" w:hAnsi="Times New Roman"/>
                <w:sz w:val="17"/>
              </w:rPr>
              <w:t>226 (75.1)</w:t>
            </w:r>
          </w:p>
        </w:tc>
        <w:tc>
          <w:tcPr>
            <w:tcW w:type="dxa" w:w="1560"/>
          </w:tcPr>
          <w:p>
            <w:r/>
            <w:r>
              <w:rPr>
                <w:rFonts w:ascii="Times New Roman" w:hAnsi="Times New Roman"/>
                <w:sz w:val="17"/>
              </w:rPr>
              <w:t>250 (78.1)</w:t>
            </w:r>
          </w:p>
        </w:tc>
        <w:tc>
          <w:tcPr>
            <w:tcW w:type="dxa" w:w="1560"/>
          </w:tcPr>
          <w:p>
            <w:r/>
            <w:r>
              <w:rPr>
                <w:rFonts w:ascii="Times New Roman" w:hAnsi="Times New Roman"/>
                <w:sz w:val="17"/>
              </w:rPr>
              <w:t>94 (79.0)</w:t>
            </w:r>
          </w:p>
        </w:tc>
        <w:tc>
          <w:tcPr>
            <w:tcW w:type="dxa" w:w="1560"/>
          </w:tcPr>
          <w:p>
            <w:r/>
            <w:r>
              <w:rPr>
                <w:rFonts w:ascii="Times New Roman" w:hAnsi="Times New Roman"/>
                <w:sz w:val="17"/>
              </w:rPr>
              <w:t>39 (70.9)</w:t>
            </w:r>
          </w:p>
        </w:tc>
      </w:tr>
      <w:tr>
        <w:tc>
          <w:tcPr>
            <w:tcW w:type="dxa" w:w="1560"/>
          </w:tcPr>
          <w:p>
            <w:r/>
            <w:r>
              <w:rPr>
                <w:rFonts w:ascii="Times New Roman" w:hAnsi="Times New Roman"/>
                <w:sz w:val="17"/>
              </w:rPr>
              <w:t>Operated 2019–2026, n (%)</w:t>
            </w:r>
          </w:p>
        </w:tc>
        <w:tc>
          <w:tcPr>
            <w:tcW w:type="dxa" w:w="1560"/>
          </w:tcPr>
          <w:p>
            <w:r/>
            <w:r>
              <w:rPr>
                <w:rFonts w:ascii="Times New Roman" w:hAnsi="Times New Roman"/>
                <w:sz w:val="17"/>
              </w:rPr>
              <w:t>166 (35.7)</w:t>
            </w:r>
          </w:p>
        </w:tc>
        <w:tc>
          <w:tcPr>
            <w:tcW w:type="dxa" w:w="1560"/>
          </w:tcPr>
          <w:p>
            <w:r/>
            <w:r>
              <w:rPr>
                <w:rFonts w:ascii="Times New Roman" w:hAnsi="Times New Roman"/>
                <w:sz w:val="17"/>
              </w:rPr>
              <w:t>96 (31.9)</w:t>
            </w:r>
          </w:p>
        </w:tc>
        <w:tc>
          <w:tcPr>
            <w:tcW w:type="dxa" w:w="1560"/>
          </w:tcPr>
          <w:p>
            <w:r/>
            <w:r>
              <w:rPr>
                <w:rFonts w:ascii="Times New Roman" w:hAnsi="Times New Roman"/>
                <w:sz w:val="17"/>
              </w:rPr>
              <w:t>105 (32.8)</w:t>
            </w:r>
          </w:p>
        </w:tc>
        <w:tc>
          <w:tcPr>
            <w:tcW w:type="dxa" w:w="1560"/>
          </w:tcPr>
          <w:p>
            <w:r/>
            <w:r>
              <w:rPr>
                <w:rFonts w:ascii="Times New Roman" w:hAnsi="Times New Roman"/>
                <w:sz w:val="17"/>
              </w:rPr>
              <w:t>80 (67.2)</w:t>
            </w:r>
          </w:p>
        </w:tc>
        <w:tc>
          <w:tcPr>
            <w:tcW w:type="dxa" w:w="1560"/>
          </w:tcPr>
          <w:p>
            <w:r/>
            <w:r>
              <w:rPr>
                <w:rFonts w:ascii="Times New Roman" w:hAnsi="Times New Roman"/>
                <w:sz w:val="17"/>
              </w:rPr>
              <w:t>19 (34.5)</w:t>
            </w:r>
          </w:p>
        </w:tc>
      </w:tr>
      <w:tr>
        <w:tc>
          <w:tcPr>
            <w:tcW w:type="dxa" w:w="1560"/>
          </w:tcPr>
          <w:p>
            <w:r/>
            <w:r>
              <w:rPr>
                <w:rFonts w:ascii="Times New Roman" w:hAnsi="Times New Roman"/>
                <w:sz w:val="17"/>
              </w:rPr>
              <w:t>Midgut volvulus at operation, n (%)</w:t>
            </w:r>
          </w:p>
        </w:tc>
        <w:tc>
          <w:tcPr>
            <w:tcW w:type="dxa" w:w="1560"/>
          </w:tcPr>
          <w:p>
            <w:r/>
            <w:r>
              <w:rPr>
                <w:rFonts w:ascii="Times New Roman" w:hAnsi="Times New Roman"/>
                <w:sz w:val="17"/>
              </w:rPr>
              <w:t>403 (86.7)</w:t>
            </w:r>
          </w:p>
        </w:tc>
        <w:tc>
          <w:tcPr>
            <w:tcW w:type="dxa" w:w="1560"/>
          </w:tcPr>
          <w:p>
            <w:r/>
            <w:r>
              <w:rPr>
                <w:rFonts w:ascii="Times New Roman" w:hAnsi="Times New Roman"/>
                <w:sz w:val="17"/>
              </w:rPr>
              <w:t>268 (89.0)</w:t>
            </w:r>
          </w:p>
        </w:tc>
        <w:tc>
          <w:tcPr>
            <w:tcW w:type="dxa" w:w="1560"/>
          </w:tcPr>
          <w:p>
            <w:r/>
            <w:r>
              <w:rPr>
                <w:rFonts w:ascii="Times New Roman" w:hAnsi="Times New Roman"/>
                <w:sz w:val="17"/>
              </w:rPr>
              <w:t>281 (87.8)</w:t>
            </w:r>
          </w:p>
        </w:tc>
        <w:tc>
          <w:tcPr>
            <w:tcW w:type="dxa" w:w="1560"/>
          </w:tcPr>
          <w:p>
            <w:r/>
            <w:r>
              <w:rPr>
                <w:rFonts w:ascii="Times New Roman" w:hAnsi="Times New Roman"/>
                <w:sz w:val="17"/>
              </w:rPr>
              <w:t>113 (95.0)</w:t>
            </w:r>
          </w:p>
        </w:tc>
        <w:tc>
          <w:tcPr>
            <w:tcW w:type="dxa" w:w="1560"/>
          </w:tcPr>
          <w:p>
            <w:r/>
            <w:r>
              <w:rPr>
                <w:rFonts w:ascii="Times New Roman" w:hAnsi="Times New Roman"/>
                <w:sz w:val="17"/>
              </w:rPr>
              <w:t>42 (76.4)</w:t>
            </w:r>
          </w:p>
        </w:tc>
      </w:tr>
      <w:tr>
        <w:tc>
          <w:tcPr>
            <w:tcW w:type="dxa" w:w="1560"/>
          </w:tcPr>
          <w:p>
            <w:r/>
            <w:r>
              <w:rPr>
                <w:rFonts w:ascii="Times New Roman" w:hAnsi="Times New Roman"/>
                <w:sz w:val="17"/>
              </w:rPr>
              <w:t>Vomiting documented, n (%)</w:t>
            </w:r>
          </w:p>
        </w:tc>
        <w:tc>
          <w:tcPr>
            <w:tcW w:type="dxa" w:w="1560"/>
          </w:tcPr>
          <w:p>
            <w:r/>
            <w:r>
              <w:rPr>
                <w:rFonts w:ascii="Times New Roman" w:hAnsi="Times New Roman"/>
                <w:sz w:val="17"/>
              </w:rPr>
              <w:t>441 (94.8)</w:t>
            </w:r>
          </w:p>
        </w:tc>
        <w:tc>
          <w:tcPr>
            <w:tcW w:type="dxa" w:w="1560"/>
          </w:tcPr>
          <w:p>
            <w:r/>
            <w:r>
              <w:rPr>
                <w:rFonts w:ascii="Times New Roman" w:hAnsi="Times New Roman"/>
                <w:sz w:val="17"/>
              </w:rPr>
              <w:t>288 (95.7)</w:t>
            </w:r>
          </w:p>
        </w:tc>
        <w:tc>
          <w:tcPr>
            <w:tcW w:type="dxa" w:w="1560"/>
          </w:tcPr>
          <w:p>
            <w:r/>
            <w:r>
              <w:rPr>
                <w:rFonts w:ascii="Times New Roman" w:hAnsi="Times New Roman"/>
                <w:sz w:val="17"/>
              </w:rPr>
              <w:t>308 (96.2)</w:t>
            </w:r>
          </w:p>
        </w:tc>
        <w:tc>
          <w:tcPr>
            <w:tcW w:type="dxa" w:w="1560"/>
          </w:tcPr>
          <w:p>
            <w:r/>
            <w:r>
              <w:rPr>
                <w:rFonts w:ascii="Times New Roman" w:hAnsi="Times New Roman"/>
                <w:sz w:val="17"/>
              </w:rPr>
              <w:t>113 (95.0)</w:t>
            </w:r>
          </w:p>
        </w:tc>
        <w:tc>
          <w:tcPr>
            <w:tcW w:type="dxa" w:w="1560"/>
          </w:tcPr>
          <w:p>
            <w:r/>
            <w:r>
              <w:rPr>
                <w:rFonts w:ascii="Times New Roman" w:hAnsi="Times New Roman"/>
                <w:sz w:val="17"/>
              </w:rPr>
              <w:t>50 (90.9)</w:t>
            </w:r>
          </w:p>
        </w:tc>
      </w:tr>
      <w:tr>
        <w:tc>
          <w:tcPr>
            <w:tcW w:type="dxa" w:w="1560"/>
          </w:tcPr>
          <w:p>
            <w:r/>
            <w:r>
              <w:rPr>
                <w:rFonts w:ascii="Times New Roman" w:hAnsi="Times New Roman"/>
                <w:sz w:val="17"/>
              </w:rPr>
              <w:t>Bilious vomiting documented, n (%)</w:t>
            </w:r>
          </w:p>
        </w:tc>
        <w:tc>
          <w:tcPr>
            <w:tcW w:type="dxa" w:w="1560"/>
          </w:tcPr>
          <w:p>
            <w:r/>
            <w:r>
              <w:rPr>
                <w:rFonts w:ascii="Times New Roman" w:hAnsi="Times New Roman"/>
                <w:sz w:val="17"/>
              </w:rPr>
              <w:t>219 (47.1)</w:t>
            </w:r>
          </w:p>
        </w:tc>
        <w:tc>
          <w:tcPr>
            <w:tcW w:type="dxa" w:w="1560"/>
          </w:tcPr>
          <w:p>
            <w:r/>
            <w:r>
              <w:rPr>
                <w:rFonts w:ascii="Times New Roman" w:hAnsi="Times New Roman"/>
                <w:sz w:val="17"/>
              </w:rPr>
              <w:t>166 (55.1)</w:t>
            </w:r>
          </w:p>
        </w:tc>
        <w:tc>
          <w:tcPr>
            <w:tcW w:type="dxa" w:w="1560"/>
          </w:tcPr>
          <w:p>
            <w:r/>
            <w:r>
              <w:rPr>
                <w:rFonts w:ascii="Times New Roman" w:hAnsi="Times New Roman"/>
                <w:sz w:val="17"/>
              </w:rPr>
              <w:t>165 (51.6)</w:t>
            </w:r>
          </w:p>
        </w:tc>
        <w:tc>
          <w:tcPr>
            <w:tcW w:type="dxa" w:w="1560"/>
          </w:tcPr>
          <w:p>
            <w:r/>
            <w:r>
              <w:rPr>
                <w:rFonts w:ascii="Times New Roman" w:hAnsi="Times New Roman"/>
                <w:sz w:val="17"/>
              </w:rPr>
              <w:t>58 (48.7)</w:t>
            </w:r>
          </w:p>
        </w:tc>
        <w:tc>
          <w:tcPr>
            <w:tcW w:type="dxa" w:w="1560"/>
          </w:tcPr>
          <w:p>
            <w:r/>
            <w:r>
              <w:rPr>
                <w:rFonts w:ascii="Times New Roman" w:hAnsi="Times New Roman"/>
                <w:sz w:val="17"/>
              </w:rPr>
              <w:t>12 (21.8)</w:t>
            </w:r>
          </w:p>
        </w:tc>
      </w:tr>
      <w:tr>
        <w:tc>
          <w:tcPr>
            <w:tcW w:type="dxa" w:w="1560"/>
          </w:tcPr>
          <w:p>
            <w:r/>
            <w:r>
              <w:rPr>
                <w:rFonts w:ascii="Times New Roman" w:hAnsi="Times New Roman"/>
                <w:sz w:val="17"/>
              </w:rPr>
              <w:t>Abdominal distension, n (%)</w:t>
            </w:r>
          </w:p>
        </w:tc>
        <w:tc>
          <w:tcPr>
            <w:tcW w:type="dxa" w:w="1560"/>
          </w:tcPr>
          <w:p>
            <w:r/>
            <w:r>
              <w:rPr>
                <w:rFonts w:ascii="Times New Roman" w:hAnsi="Times New Roman"/>
                <w:sz w:val="17"/>
              </w:rPr>
              <w:t>183 (39.4)</w:t>
            </w:r>
          </w:p>
        </w:tc>
        <w:tc>
          <w:tcPr>
            <w:tcW w:type="dxa" w:w="1560"/>
          </w:tcPr>
          <w:p>
            <w:r/>
            <w:r>
              <w:rPr>
                <w:rFonts w:ascii="Times New Roman" w:hAnsi="Times New Roman"/>
                <w:sz w:val="17"/>
              </w:rPr>
              <w:t>119 (39.5)</w:t>
            </w:r>
          </w:p>
        </w:tc>
        <w:tc>
          <w:tcPr>
            <w:tcW w:type="dxa" w:w="1560"/>
          </w:tcPr>
          <w:p>
            <w:r/>
            <w:r>
              <w:rPr>
                <w:rFonts w:ascii="Times New Roman" w:hAnsi="Times New Roman"/>
                <w:sz w:val="17"/>
              </w:rPr>
              <w:t>137 (42.8)</w:t>
            </w:r>
          </w:p>
        </w:tc>
        <w:tc>
          <w:tcPr>
            <w:tcW w:type="dxa" w:w="1560"/>
          </w:tcPr>
          <w:p>
            <w:r/>
            <w:r>
              <w:rPr>
                <w:rFonts w:ascii="Times New Roman" w:hAnsi="Times New Roman"/>
                <w:sz w:val="17"/>
              </w:rPr>
              <w:t>57 (47.9)</w:t>
            </w:r>
          </w:p>
        </w:tc>
        <w:tc>
          <w:tcPr>
            <w:tcW w:type="dxa" w:w="1560"/>
          </w:tcPr>
          <w:p>
            <w:r/>
            <w:r>
              <w:rPr>
                <w:rFonts w:ascii="Times New Roman" w:hAnsi="Times New Roman"/>
                <w:sz w:val="17"/>
              </w:rPr>
              <w:t>24 (43.6)</w:t>
            </w:r>
          </w:p>
        </w:tc>
      </w:tr>
      <w:tr>
        <w:tc>
          <w:tcPr>
            <w:tcW w:type="dxa" w:w="1560"/>
          </w:tcPr>
          <w:p>
            <w:r/>
            <w:r>
              <w:rPr>
                <w:rFonts w:ascii="Times New Roman" w:hAnsi="Times New Roman"/>
                <w:sz w:val="17"/>
              </w:rPr>
              <w:t>Blood in stool, n (%)</w:t>
            </w:r>
          </w:p>
        </w:tc>
        <w:tc>
          <w:tcPr>
            <w:tcW w:type="dxa" w:w="1560"/>
          </w:tcPr>
          <w:p>
            <w:r/>
            <w:r>
              <w:rPr>
                <w:rFonts w:ascii="Times New Roman" w:hAnsi="Times New Roman"/>
                <w:sz w:val="17"/>
              </w:rPr>
              <w:t>113 (24.3)</w:t>
            </w:r>
          </w:p>
        </w:tc>
        <w:tc>
          <w:tcPr>
            <w:tcW w:type="dxa" w:w="1560"/>
          </w:tcPr>
          <w:p>
            <w:r/>
            <w:r>
              <w:rPr>
                <w:rFonts w:ascii="Times New Roman" w:hAnsi="Times New Roman"/>
                <w:sz w:val="17"/>
              </w:rPr>
              <w:t>64 (21.3)</w:t>
            </w:r>
          </w:p>
        </w:tc>
        <w:tc>
          <w:tcPr>
            <w:tcW w:type="dxa" w:w="1560"/>
          </w:tcPr>
          <w:p>
            <w:r/>
            <w:r>
              <w:rPr>
                <w:rFonts w:ascii="Times New Roman" w:hAnsi="Times New Roman"/>
                <w:sz w:val="17"/>
              </w:rPr>
              <w:t>88 (27.5)</w:t>
            </w:r>
          </w:p>
        </w:tc>
        <w:tc>
          <w:tcPr>
            <w:tcW w:type="dxa" w:w="1560"/>
          </w:tcPr>
          <w:p>
            <w:r/>
            <w:r>
              <w:rPr>
                <w:rFonts w:ascii="Times New Roman" w:hAnsi="Times New Roman"/>
                <w:sz w:val="17"/>
              </w:rPr>
              <w:t>32 (26.9)</w:t>
            </w:r>
          </w:p>
        </w:tc>
        <w:tc>
          <w:tcPr>
            <w:tcW w:type="dxa" w:w="1560"/>
          </w:tcPr>
          <w:p>
            <w:r/>
            <w:r>
              <w:rPr>
                <w:rFonts w:ascii="Times New Roman" w:hAnsi="Times New Roman"/>
                <w:sz w:val="17"/>
              </w:rPr>
              <w:t>11 (20.0)</w:t>
            </w:r>
          </w:p>
        </w:tc>
      </w:tr>
      <w:tr>
        <w:tc>
          <w:tcPr>
            <w:tcW w:type="dxa" w:w="1560"/>
          </w:tcPr>
          <w:p>
            <w:r/>
            <w:r>
              <w:rPr>
                <w:rFonts w:ascii="Times New Roman" w:hAnsi="Times New Roman"/>
                <w:sz w:val="17"/>
              </w:rPr>
              <w:t>Abdominal pain, n (%)</w:t>
            </w:r>
          </w:p>
        </w:tc>
        <w:tc>
          <w:tcPr>
            <w:tcW w:type="dxa" w:w="1560"/>
          </w:tcPr>
          <w:p>
            <w:r/>
            <w:r>
              <w:rPr>
                <w:rFonts w:ascii="Times New Roman" w:hAnsi="Times New Roman"/>
                <w:sz w:val="17"/>
              </w:rPr>
              <w:t>72 (15.5)</w:t>
            </w:r>
          </w:p>
        </w:tc>
        <w:tc>
          <w:tcPr>
            <w:tcW w:type="dxa" w:w="1560"/>
          </w:tcPr>
          <w:p>
            <w:r/>
            <w:r>
              <w:rPr>
                <w:rFonts w:ascii="Times New Roman" w:hAnsi="Times New Roman"/>
                <w:sz w:val="17"/>
              </w:rPr>
              <w:t>33 (11.0)</w:t>
            </w:r>
          </w:p>
        </w:tc>
        <w:tc>
          <w:tcPr>
            <w:tcW w:type="dxa" w:w="1560"/>
          </w:tcPr>
          <w:p>
            <w:r/>
            <w:r>
              <w:rPr>
                <w:rFonts w:ascii="Times New Roman" w:hAnsi="Times New Roman"/>
                <w:sz w:val="17"/>
              </w:rPr>
              <w:t>46 (14.4)</w:t>
            </w:r>
          </w:p>
        </w:tc>
        <w:tc>
          <w:tcPr>
            <w:tcW w:type="dxa" w:w="1560"/>
          </w:tcPr>
          <w:p>
            <w:r/>
            <w:r>
              <w:rPr>
                <w:rFonts w:ascii="Times New Roman" w:hAnsi="Times New Roman"/>
                <w:sz w:val="17"/>
              </w:rPr>
              <w:t>10 (8.4)</w:t>
            </w:r>
          </w:p>
        </w:tc>
        <w:tc>
          <w:tcPr>
            <w:tcW w:type="dxa" w:w="1560"/>
          </w:tcPr>
          <w:p>
            <w:r/>
            <w:r>
              <w:rPr>
                <w:rFonts w:ascii="Times New Roman" w:hAnsi="Times New Roman"/>
                <w:sz w:val="17"/>
              </w:rPr>
              <w:t>13 (23.6)</w:t>
            </w:r>
          </w:p>
        </w:tc>
      </w:tr>
      <w:tr>
        <w:tc>
          <w:tcPr>
            <w:tcW w:type="dxa" w:w="1560"/>
          </w:tcPr>
          <w:p>
            <w:r/>
            <w:r>
              <w:rPr>
                <w:rFonts w:ascii="Times New Roman" w:hAnsi="Times New Roman"/>
                <w:sz w:val="17"/>
              </w:rPr>
              <w:t>Recurrent/intermittent symptoms, n (%)</w:t>
            </w:r>
          </w:p>
        </w:tc>
        <w:tc>
          <w:tcPr>
            <w:tcW w:type="dxa" w:w="1560"/>
          </w:tcPr>
          <w:p>
            <w:r/>
            <w:r>
              <w:rPr>
                <w:rFonts w:ascii="Times New Roman" w:hAnsi="Times New Roman"/>
                <w:sz w:val="17"/>
              </w:rPr>
              <w:t>221 (47.5)</w:t>
            </w:r>
          </w:p>
        </w:tc>
        <w:tc>
          <w:tcPr>
            <w:tcW w:type="dxa" w:w="1560"/>
          </w:tcPr>
          <w:p>
            <w:r/>
            <w:r>
              <w:rPr>
                <w:rFonts w:ascii="Times New Roman" w:hAnsi="Times New Roman"/>
                <w:sz w:val="17"/>
              </w:rPr>
              <w:t>152 (50.5)</w:t>
            </w:r>
          </w:p>
        </w:tc>
        <w:tc>
          <w:tcPr>
            <w:tcW w:type="dxa" w:w="1560"/>
          </w:tcPr>
          <w:p>
            <w:r/>
            <w:r>
              <w:rPr>
                <w:rFonts w:ascii="Times New Roman" w:hAnsi="Times New Roman"/>
                <w:sz w:val="17"/>
              </w:rPr>
              <w:t>148 (46.2)</w:t>
            </w:r>
          </w:p>
        </w:tc>
        <w:tc>
          <w:tcPr>
            <w:tcW w:type="dxa" w:w="1560"/>
          </w:tcPr>
          <w:p>
            <w:r/>
            <w:r>
              <w:rPr>
                <w:rFonts w:ascii="Times New Roman" w:hAnsi="Times New Roman"/>
                <w:sz w:val="17"/>
              </w:rPr>
              <w:t>53 (44.5)</w:t>
            </w:r>
          </w:p>
        </w:tc>
        <w:tc>
          <w:tcPr>
            <w:tcW w:type="dxa" w:w="1560"/>
          </w:tcPr>
          <w:p>
            <w:r/>
            <w:r>
              <w:rPr>
                <w:rFonts w:ascii="Times New Roman" w:hAnsi="Times New Roman"/>
                <w:sz w:val="17"/>
              </w:rPr>
              <w:t>21 (38.2)</w:t>
            </w:r>
          </w:p>
        </w:tc>
      </w:tr>
      <w:tr>
        <w:tc>
          <w:tcPr>
            <w:tcW w:type="dxa" w:w="1560"/>
          </w:tcPr>
          <w:p>
            <w:r/>
            <w:r>
              <w:rPr>
                <w:rFonts w:ascii="Times New Roman" w:hAnsi="Times New Roman"/>
                <w:sz w:val="17"/>
              </w:rPr>
              <w:t>Shock or poor perfusion, n (%)</w:t>
            </w:r>
          </w:p>
        </w:tc>
        <w:tc>
          <w:tcPr>
            <w:tcW w:type="dxa" w:w="1560"/>
          </w:tcPr>
          <w:p>
            <w:r/>
            <w:r>
              <w:rPr>
                <w:rFonts w:ascii="Times New Roman" w:hAnsi="Times New Roman"/>
                <w:sz w:val="17"/>
              </w:rPr>
              <w:t>11 (2.4)</w:t>
            </w:r>
          </w:p>
        </w:tc>
        <w:tc>
          <w:tcPr>
            <w:tcW w:type="dxa" w:w="1560"/>
          </w:tcPr>
          <w:p>
            <w:r/>
            <w:r>
              <w:rPr>
                <w:rFonts w:ascii="Times New Roman" w:hAnsi="Times New Roman"/>
                <w:sz w:val="17"/>
              </w:rPr>
              <w:t>3 (1.0)</w:t>
            </w:r>
          </w:p>
        </w:tc>
        <w:tc>
          <w:tcPr>
            <w:tcW w:type="dxa" w:w="1560"/>
          </w:tcPr>
          <w:p>
            <w:r/>
            <w:r>
              <w:rPr>
                <w:rFonts w:ascii="Times New Roman" w:hAnsi="Times New Roman"/>
                <w:sz w:val="17"/>
              </w:rPr>
              <w:t>6 (1.9)</w:t>
            </w:r>
          </w:p>
        </w:tc>
        <w:tc>
          <w:tcPr>
            <w:tcW w:type="dxa" w:w="1560"/>
          </w:tcPr>
          <w:p>
            <w:r/>
            <w:r>
              <w:rPr>
                <w:rFonts w:ascii="Times New Roman" w:hAnsi="Times New Roman"/>
                <w:sz w:val="17"/>
              </w:rPr>
              <w:t>3 (2.5)</w:t>
            </w:r>
          </w:p>
        </w:tc>
        <w:tc>
          <w:tcPr>
            <w:tcW w:type="dxa" w:w="1560"/>
          </w:tcPr>
          <w:p>
            <w:r/>
            <w:r>
              <w:rPr>
                <w:rFonts w:ascii="Times New Roman" w:hAnsi="Times New Roman"/>
                <w:sz w:val="17"/>
              </w:rPr>
              <w:t>4 (7.3)</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Presenting features were extracted from admission records by text search and are documentation rates, not verified prevalences. The rightmost column shows the 55 children who received none of the three index tests; all of them nonetheless had other preoperative imaging (Fig. 1). IQR interquartile range, UGI upper gastrointestinal.</w:t>
      </w:r>
    </w:p>
    <w:p>
      <w:pPr>
        <w:jc w:val="center"/>
      </w:pPr>
      <w:r>
        <w:drawing>
          <wp:inline xmlns:a="http://schemas.openxmlformats.org/drawingml/2006/main" xmlns:pic="http://schemas.openxmlformats.org/drawingml/2006/picture">
            <wp:extent cx="5852160" cy="4554188"/>
            <wp:docPr id="1" name="Picture 1"/>
            <wp:cNvGraphicFramePr>
              <a:graphicFrameLocks noChangeAspect="1"/>
            </wp:cNvGraphicFramePr>
            <a:graphic>
              <a:graphicData uri="http://schemas.openxmlformats.org/drawingml/2006/picture">
                <pic:pic>
                  <pic:nvPicPr>
                    <pic:cNvPr id="0" name="Figure1_flow.png"/>
                    <pic:cNvPicPr/>
                  </pic:nvPicPr>
                  <pic:blipFill>
                    <a:blip r:embed="rId9"/>
                    <a:stretch>
                      <a:fillRect/>
                    </a:stretch>
                  </pic:blipFill>
                  <pic:spPr>
                    <a:xfrm>
                      <a:off x="0" y="0"/>
                      <a:ext cx="5852160" cy="4554188"/>
                    </a:xfrm>
                    <a:prstGeom prst="rect"/>
                  </pic:spPr>
                </pic:pic>
              </a:graphicData>
            </a:graphic>
          </wp:inline>
        </w:drawing>
      </w:r>
    </w:p>
    <w:p>
      <w:pPr>
        <w:spacing w:after="160"/>
      </w:pPr>
      <w:r>
        <w:t>The modality groups were broadly similar in age and sex but not interchangeable (Table 1): children who underwent ultrasound had volvulus more often (95.0% vs 89.0% and 87.8%) and were concentrated in the second era (67.2% vs 31.9% and 32.8%), ultrasound utilisation rising from 13% to 48%. Test sequence differed too — the UGI series was the final preoperative test in 75.1% of children who received it, against 19.2% for CT and 36.8% for ultrasound, and its detection was higher in that position (80.4% vs 70.5%) — so it functioned as the confirmatory study preceding operation, a feature of the pathway rather than of the test.</w:t>
      </w:r>
    </w:p>
    <w:p>
      <w:pPr>
        <w:pStyle w:val="Heading2"/>
      </w:pPr>
      <w:r>
        <w:t>Report-level detection and the certainty of the wording</w:t>
      </w:r>
    </w:p>
    <w:p>
      <w:pPr>
        <w:spacing w:after="160"/>
      </w:pPr>
      <w:r>
        <w:t>Detection was 237/301 (78.7%, 95% CI 73.8–83.0) for the UGI series, 171/320 (53.4%, 48.0–58.8) for CT and 65/119 (54.6%, 45.7–63.3) for ultrasound (Table 2, Fig. 2) — indication-selected denominators drawn from overlapping groups, not a ranking of the tests. In the GEE model CT and ultrasound had lower odds of a positive report than the UGI series (odds ratio 0.31 [0.22–0.44] and 0.33 [0.21–0.50]; both p&lt;0.001), essentially unchanged after adjustment for era and age; these coefficients absorb indication, pathway position and examination content (Online Resource 2).</w:t>
      </w:r>
    </w:p>
    <w:p>
      <w:pPr>
        <w:spacing w:after="160"/>
      </w:pPr>
      <w:r>
        <w:t>Tentative phrasing was common and differed by modality (Table 2): 35.0% (UGI), 36.3% (CT) and 49.2% (ultrasound) of positive conclusions used possible wording, none a false positive since every child had confirmed disease. Reclassifying these as negative reduced detection to 51.2%, 34.1% and 27.7% without changing the ordering, the largest proportional reduction falling on ultrasound.</w:t>
      </w:r>
    </w:p>
    <w:p>
      <w:pPr>
        <w:spacing w:after="160"/>
      </w:pPr>
      <w:r>
        <w:rPr>
          <w:b/>
        </w:rPr>
        <w:t>Table 2. Report-level detection of intestinal malrotation among surgically confirmed children, with the certainty of the wording used in positive conclusions</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Index test</w:t>
            </w:r>
          </w:p>
        </w:tc>
        <w:tc>
          <w:tcPr>
            <w:tcW w:type="dxa" w:w="1337"/>
          </w:tcPr>
          <w:p>
            <w:r/>
            <w:r>
              <w:rPr>
                <w:rFonts w:ascii="Times New Roman" w:hAnsi="Times New Roman"/>
                <w:b/>
                <w:sz w:val="17"/>
              </w:rPr>
              <w:t>Positive/total</w:t>
            </w:r>
          </w:p>
        </w:tc>
        <w:tc>
          <w:tcPr>
            <w:tcW w:type="dxa" w:w="1337"/>
          </w:tcPr>
          <w:p>
            <w:r/>
            <w:r>
              <w:rPr>
                <w:rFonts w:ascii="Times New Roman" w:hAnsi="Times New Roman"/>
                <w:b/>
                <w:sz w:val="17"/>
              </w:rPr>
              <w:t>Detection rate, % (95% CI)</w:t>
            </w:r>
          </w:p>
        </w:tc>
        <w:tc>
          <w:tcPr>
            <w:tcW w:type="dxa" w:w="1337"/>
          </w:tcPr>
          <w:p>
            <w:r/>
            <w:r>
              <w:rPr>
                <w:rFonts w:ascii="Times New Roman" w:hAnsi="Times New Roman"/>
                <w:b/>
                <w:sz w:val="17"/>
              </w:rPr>
              <w:t>Definite wording, n (%)</w:t>
            </w:r>
          </w:p>
        </w:tc>
        <w:tc>
          <w:tcPr>
            <w:tcW w:type="dxa" w:w="1337"/>
          </w:tcPr>
          <w:p>
            <w:r/>
            <w:r>
              <w:rPr>
                <w:rFonts w:ascii="Times New Roman" w:hAnsi="Times New Roman"/>
                <w:b/>
                <w:sz w:val="17"/>
              </w:rPr>
              <w:t>Probable wording, n (%)</w:t>
            </w:r>
          </w:p>
        </w:tc>
        <w:tc>
          <w:tcPr>
            <w:tcW w:type="dxa" w:w="1337"/>
          </w:tcPr>
          <w:p>
            <w:r/>
            <w:r>
              <w:rPr>
                <w:rFonts w:ascii="Times New Roman" w:hAnsi="Times New Roman"/>
                <w:b/>
                <w:sz w:val="17"/>
              </w:rPr>
              <w:t>Possible wording, n (%)</w:t>
            </w:r>
          </w:p>
        </w:tc>
        <w:tc>
          <w:tcPr>
            <w:tcW w:type="dxa" w:w="1337"/>
          </w:tcPr>
          <w:p>
            <w:r/>
            <w:r>
              <w:rPr>
                <w:rFonts w:ascii="Times New Roman" w:hAnsi="Times New Roman"/>
                <w:b/>
                <w:sz w:val="17"/>
              </w:rPr>
              <w:t>Detection excluding possible wording, %</w:t>
            </w:r>
          </w:p>
        </w:tc>
      </w:tr>
      <w:tr>
        <w:tc>
          <w:tcPr>
            <w:tcW w:type="dxa" w:w="1337"/>
          </w:tcPr>
          <w:p>
            <w:r/>
            <w:r>
              <w:rPr>
                <w:rFonts w:ascii="Times New Roman" w:hAnsi="Times New Roman"/>
                <w:sz w:val="17"/>
              </w:rPr>
              <w:t>UGI contrast series</w:t>
            </w:r>
          </w:p>
        </w:tc>
        <w:tc>
          <w:tcPr>
            <w:tcW w:type="dxa" w:w="1337"/>
          </w:tcPr>
          <w:p>
            <w:r/>
            <w:r>
              <w:rPr>
                <w:rFonts w:ascii="Times New Roman" w:hAnsi="Times New Roman"/>
                <w:sz w:val="17"/>
              </w:rPr>
              <w:t>237/301</w:t>
            </w:r>
          </w:p>
        </w:tc>
        <w:tc>
          <w:tcPr>
            <w:tcW w:type="dxa" w:w="1337"/>
          </w:tcPr>
          <w:p>
            <w:r/>
            <w:r>
              <w:rPr>
                <w:rFonts w:ascii="Times New Roman" w:hAnsi="Times New Roman"/>
                <w:sz w:val="17"/>
              </w:rPr>
              <w:t>78.7 (73.8–83.0)</w:t>
            </w:r>
          </w:p>
        </w:tc>
        <w:tc>
          <w:tcPr>
            <w:tcW w:type="dxa" w:w="1337"/>
          </w:tcPr>
          <w:p>
            <w:r/>
            <w:r>
              <w:rPr>
                <w:rFonts w:ascii="Times New Roman" w:hAnsi="Times New Roman"/>
                <w:sz w:val="17"/>
              </w:rPr>
              <w:t>78 (32.9)</w:t>
            </w:r>
          </w:p>
        </w:tc>
        <w:tc>
          <w:tcPr>
            <w:tcW w:type="dxa" w:w="1337"/>
          </w:tcPr>
          <w:p>
            <w:r/>
            <w:r>
              <w:rPr>
                <w:rFonts w:ascii="Times New Roman" w:hAnsi="Times New Roman"/>
                <w:sz w:val="17"/>
              </w:rPr>
              <w:t>76 (32.1)</w:t>
            </w:r>
          </w:p>
        </w:tc>
        <w:tc>
          <w:tcPr>
            <w:tcW w:type="dxa" w:w="1337"/>
          </w:tcPr>
          <w:p>
            <w:r/>
            <w:r>
              <w:rPr>
                <w:rFonts w:ascii="Times New Roman" w:hAnsi="Times New Roman"/>
                <w:sz w:val="17"/>
              </w:rPr>
              <w:t>83 (35.0)</w:t>
            </w:r>
          </w:p>
        </w:tc>
        <w:tc>
          <w:tcPr>
            <w:tcW w:type="dxa" w:w="1337"/>
          </w:tcPr>
          <w:p>
            <w:r/>
            <w:r>
              <w:rPr>
                <w:rFonts w:ascii="Times New Roman" w:hAnsi="Times New Roman"/>
                <w:sz w:val="17"/>
              </w:rPr>
              <w:t>51.2</w:t>
            </w:r>
          </w:p>
        </w:tc>
      </w:tr>
      <w:tr>
        <w:tc>
          <w:tcPr>
            <w:tcW w:type="dxa" w:w="1337"/>
          </w:tcPr>
          <w:p>
            <w:r/>
            <w:r>
              <w:rPr>
                <w:rFonts w:ascii="Times New Roman" w:hAnsi="Times New Roman"/>
                <w:sz w:val="17"/>
              </w:rPr>
              <w:t>Abdominal CT (all)</w:t>
            </w:r>
          </w:p>
        </w:tc>
        <w:tc>
          <w:tcPr>
            <w:tcW w:type="dxa" w:w="1337"/>
          </w:tcPr>
          <w:p>
            <w:r/>
            <w:r>
              <w:rPr>
                <w:rFonts w:ascii="Times New Roman" w:hAnsi="Times New Roman"/>
                <w:sz w:val="17"/>
              </w:rPr>
              <w:t>171/320</w:t>
            </w:r>
          </w:p>
        </w:tc>
        <w:tc>
          <w:tcPr>
            <w:tcW w:type="dxa" w:w="1337"/>
          </w:tcPr>
          <w:p>
            <w:r/>
            <w:r>
              <w:rPr>
                <w:rFonts w:ascii="Times New Roman" w:hAnsi="Times New Roman"/>
                <w:sz w:val="17"/>
              </w:rPr>
              <w:t>53.4 (48.0–58.8)</w:t>
            </w:r>
          </w:p>
        </w:tc>
        <w:tc>
          <w:tcPr>
            <w:tcW w:type="dxa" w:w="1337"/>
          </w:tcPr>
          <w:p>
            <w:r/>
            <w:r>
              <w:rPr>
                <w:rFonts w:ascii="Times New Roman" w:hAnsi="Times New Roman"/>
                <w:sz w:val="17"/>
              </w:rPr>
              <w:t>34 (19.9)</w:t>
            </w:r>
          </w:p>
        </w:tc>
        <w:tc>
          <w:tcPr>
            <w:tcW w:type="dxa" w:w="1337"/>
          </w:tcPr>
          <w:p>
            <w:r/>
            <w:r>
              <w:rPr>
                <w:rFonts w:ascii="Times New Roman" w:hAnsi="Times New Roman"/>
                <w:sz w:val="17"/>
              </w:rPr>
              <w:t>75 (43.9)</w:t>
            </w:r>
          </w:p>
        </w:tc>
        <w:tc>
          <w:tcPr>
            <w:tcW w:type="dxa" w:w="1337"/>
          </w:tcPr>
          <w:p>
            <w:r/>
            <w:r>
              <w:rPr>
                <w:rFonts w:ascii="Times New Roman" w:hAnsi="Times New Roman"/>
                <w:sz w:val="17"/>
              </w:rPr>
              <w:t>62 (36.3)</w:t>
            </w:r>
          </w:p>
        </w:tc>
        <w:tc>
          <w:tcPr>
            <w:tcW w:type="dxa" w:w="1337"/>
          </w:tcPr>
          <w:p>
            <w:r/>
            <w:r>
              <w:rPr>
                <w:rFonts w:ascii="Times New Roman" w:hAnsi="Times New Roman"/>
                <w:sz w:val="17"/>
              </w:rPr>
              <w:t>34.1</w:t>
            </w:r>
          </w:p>
        </w:tc>
      </w:tr>
      <w:tr>
        <w:tc>
          <w:tcPr>
            <w:tcW w:type="dxa" w:w="1337"/>
          </w:tcPr>
          <w:p>
            <w:r/>
            <w:r>
              <w:rPr>
                <w:rFonts w:ascii="Times New Roman" w:hAnsi="Times New Roman"/>
                <w:sz w:val="17"/>
              </w:rPr>
              <w:t>Gastrointestinal ultrasound</w:t>
            </w:r>
          </w:p>
        </w:tc>
        <w:tc>
          <w:tcPr>
            <w:tcW w:type="dxa" w:w="1337"/>
          </w:tcPr>
          <w:p>
            <w:r/>
            <w:r>
              <w:rPr>
                <w:rFonts w:ascii="Times New Roman" w:hAnsi="Times New Roman"/>
                <w:sz w:val="17"/>
              </w:rPr>
              <w:t>65/119</w:t>
            </w:r>
          </w:p>
        </w:tc>
        <w:tc>
          <w:tcPr>
            <w:tcW w:type="dxa" w:w="1337"/>
          </w:tcPr>
          <w:p>
            <w:r/>
            <w:r>
              <w:rPr>
                <w:rFonts w:ascii="Times New Roman" w:hAnsi="Times New Roman"/>
                <w:sz w:val="17"/>
              </w:rPr>
              <w:t>54.6 (45.7–63.3)</w:t>
            </w:r>
          </w:p>
        </w:tc>
        <w:tc>
          <w:tcPr>
            <w:tcW w:type="dxa" w:w="1337"/>
          </w:tcPr>
          <w:p>
            <w:r/>
            <w:r>
              <w:rPr>
                <w:rFonts w:ascii="Times New Roman" w:hAnsi="Times New Roman"/>
                <w:sz w:val="17"/>
              </w:rPr>
              <w:t>16 (24.6)</w:t>
            </w:r>
          </w:p>
        </w:tc>
        <w:tc>
          <w:tcPr>
            <w:tcW w:type="dxa" w:w="1337"/>
          </w:tcPr>
          <w:p>
            <w:r/>
            <w:r>
              <w:rPr>
                <w:rFonts w:ascii="Times New Roman" w:hAnsi="Times New Roman"/>
                <w:sz w:val="17"/>
              </w:rPr>
              <w:t>17 (26.2)</w:t>
            </w:r>
          </w:p>
        </w:tc>
        <w:tc>
          <w:tcPr>
            <w:tcW w:type="dxa" w:w="1337"/>
          </w:tcPr>
          <w:p>
            <w:r/>
            <w:r>
              <w:rPr>
                <w:rFonts w:ascii="Times New Roman" w:hAnsi="Times New Roman"/>
                <w:sz w:val="17"/>
              </w:rPr>
              <w:t>32 (49.2)</w:t>
            </w:r>
          </w:p>
        </w:tc>
        <w:tc>
          <w:tcPr>
            <w:tcW w:type="dxa" w:w="1337"/>
          </w:tcPr>
          <w:p>
            <w:r/>
            <w:r>
              <w:rPr>
                <w:rFonts w:ascii="Times New Roman" w:hAnsi="Times New Roman"/>
                <w:sz w:val="17"/>
              </w:rPr>
              <w:t>27.7</w:t>
            </w:r>
          </w:p>
        </w:tc>
      </w:tr>
      <w:tr>
        <w:tc>
          <w:tcPr>
            <w:tcW w:type="dxa" w:w="1337"/>
          </w:tcPr>
          <w:p>
            <w:r/>
            <w:r>
              <w:rPr>
                <w:rFonts w:ascii="Times New Roman" w:hAnsi="Times New Roman"/>
                <w:sz w:val="17"/>
              </w:rPr>
              <w:t xml:space="preserve">  CT, contrast-enhanced</w:t>
            </w:r>
          </w:p>
        </w:tc>
        <w:tc>
          <w:tcPr>
            <w:tcW w:type="dxa" w:w="1337"/>
          </w:tcPr>
          <w:p>
            <w:r/>
            <w:r>
              <w:rPr>
                <w:rFonts w:ascii="Times New Roman" w:hAnsi="Times New Roman"/>
                <w:sz w:val="17"/>
              </w:rPr>
              <w:t>44/52</w:t>
            </w:r>
          </w:p>
        </w:tc>
        <w:tc>
          <w:tcPr>
            <w:tcW w:type="dxa" w:w="1337"/>
          </w:tcPr>
          <w:p>
            <w:r/>
            <w:r>
              <w:rPr>
                <w:rFonts w:ascii="Times New Roman" w:hAnsi="Times New Roman"/>
                <w:sz w:val="17"/>
              </w:rPr>
              <w:t>84.6 (72.5–92.0)</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r>
        <w:tc>
          <w:tcPr>
            <w:tcW w:type="dxa" w:w="1337"/>
          </w:tcPr>
          <w:p>
            <w:r/>
            <w:r>
              <w:rPr>
                <w:rFonts w:ascii="Times New Roman" w:hAnsi="Times New Roman"/>
                <w:sz w:val="17"/>
              </w:rPr>
              <w:t xml:space="preserve">  CT, unenhanced</w:t>
            </w:r>
          </w:p>
        </w:tc>
        <w:tc>
          <w:tcPr>
            <w:tcW w:type="dxa" w:w="1337"/>
          </w:tcPr>
          <w:p>
            <w:r/>
            <w:r>
              <w:rPr>
                <w:rFonts w:ascii="Times New Roman" w:hAnsi="Times New Roman"/>
                <w:sz w:val="17"/>
              </w:rPr>
              <w:t>127/268</w:t>
            </w:r>
          </w:p>
        </w:tc>
        <w:tc>
          <w:tcPr>
            <w:tcW w:type="dxa" w:w="1337"/>
          </w:tcPr>
          <w:p>
            <w:r/>
            <w:r>
              <w:rPr>
                <w:rFonts w:ascii="Times New Roman" w:hAnsi="Times New Roman"/>
                <w:sz w:val="17"/>
              </w:rPr>
              <w:t>47.4 (41.5–53.4)</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r>
        <w:tc>
          <w:tcPr>
            <w:tcW w:type="dxa" w:w="1337"/>
          </w:tcPr>
          <w:p>
            <w:r/>
            <w:r>
              <w:rPr>
                <w:rFonts w:ascii="Times New Roman" w:hAnsi="Times New Roman"/>
                <w:sz w:val="17"/>
              </w:rPr>
              <w:t xml:space="preserve">  Ultrasound, whirlpool sign recorded</w:t>
            </w:r>
          </w:p>
        </w:tc>
        <w:tc>
          <w:tcPr>
            <w:tcW w:type="dxa" w:w="1337"/>
          </w:tcPr>
          <w:p>
            <w:r/>
            <w:r>
              <w:rPr>
                <w:rFonts w:ascii="Times New Roman" w:hAnsi="Times New Roman"/>
                <w:sz w:val="17"/>
              </w:rPr>
              <w:t>59/119</w:t>
            </w:r>
          </w:p>
        </w:tc>
        <w:tc>
          <w:tcPr>
            <w:tcW w:type="dxa" w:w="1337"/>
          </w:tcPr>
          <w:p>
            <w:r/>
            <w:r>
              <w:rPr>
                <w:rFonts w:ascii="Times New Roman" w:hAnsi="Times New Roman"/>
                <w:sz w:val="17"/>
              </w:rPr>
              <w:t>49.6 (40.8–58.4)</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final column repeats the detection rate after reclassifying all possible-tier conclusions as negative.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w:t>
      </w:r>
    </w:p>
    <w:p>
      <w:pPr>
        <w:jc w:val="center"/>
      </w:pPr>
      <w:r>
        <w:drawing>
          <wp:inline xmlns:a="http://schemas.openxmlformats.org/drawingml/2006/main" xmlns:pic="http://schemas.openxmlformats.org/drawingml/2006/picture">
            <wp:extent cx="5852160" cy="2735738"/>
            <wp:docPr id="2" name="Picture 2"/>
            <wp:cNvGraphicFramePr>
              <a:graphicFrameLocks noChangeAspect="1"/>
            </wp:cNvGraphicFramePr>
            <a:graphic>
              <a:graphicData uri="http://schemas.openxmlformats.org/drawingml/2006/picture">
                <pic:pic>
                  <pic:nvPicPr>
                    <pic:cNvPr id="0" name="Figure3_detection.png"/>
                    <pic:cNvPicPr/>
                  </pic:nvPicPr>
                  <pic:blipFill>
                    <a:blip r:embed="rId10"/>
                    <a:stretch>
                      <a:fillRect/>
                    </a:stretch>
                  </pic:blipFill>
                  <pic:spPr>
                    <a:xfrm>
                      <a:off x="0" y="0"/>
                      <a:ext cx="5852160" cy="2735738"/>
                    </a:xfrm>
                    <a:prstGeom prst="rect"/>
                  </pic:spPr>
                </pic:pic>
              </a:graphicData>
            </a:graphic>
          </wp:inline>
        </w:drawing>
      </w:r>
    </w:p>
    <w:p>
      <w:pPr>
        <w:pStyle w:val="Heading2"/>
      </w:pPr>
      <w:r>
        <w:t>What the ultrasound reports contained</w:t>
      </w:r>
    </w:p>
    <w:p>
      <w:pPr>
        <w:spacing w:after="160"/>
      </w:pPr>
      <w:r>
        <w:t>The central finding concerns the content of the 119 ultrasound index reports (Table 3, Fig. 3). Not one documented D3 or the duodenojejunal junction (0/119, 0%; 95% CI 0–3.1); six (5.0%) mentioned the duodenum at all. Ten (8.4%) described the superior mesenteric artery–vein relationship, and only one (0.8%) stated explicitly that the vessels were inverted, although vessel inversion was one of the two criteria defining a positive ultrasound. One report recorded enteric fluid and four (3.4%) caecal position. By contrast, 59 (49.6%) recorded a whirlpool or spiral appearance, and bowel gas was reported as limiting the examination in 26 (21.8%).</w:t>
      </w:r>
    </w:p>
    <w:p>
      <w:pPr>
        <w:spacing w:after="160"/>
      </w:pPr>
      <w:r>
        <w:t>Detection followed this content almost deterministically: ultrasound reported malrotation in 59 of the 59 examinations documenting a whirlpool (100%, 95% CI 93.9–100) and 6 of the 60 without one (10.0%, 4.7–20.1), and all 10 reports describing the mesenteric-vessel relationship were positive. Detection was 70.5% (43/61) for great-vessel-coded examinations, 47.1% (32/68) for gastrointestinal-coded ones and 22.2% for nine bedside studies.</w:t>
      </w:r>
    </w:p>
    <w:p>
      <w:pPr>
        <w:spacing w:after="160"/>
      </w:pPr>
      <w:r>
        <w:t>The audits of CT and the UGI series show the same principle with different content (Online Resource 3): a mesenteric whirl was described in 36.2% of CT reports and the duodenojejunal junction in 54.5% of UGI reports, of which 98.3% and 98.2% were positive against 27.9% and 55.5% of those without. The UGI series was the only modality documenting the landmark that defines malrotation in most examinations.</w:t>
      </w:r>
    </w:p>
    <w:p>
      <w:pPr>
        <w:spacing w:after="160"/>
      </w:pPr>
      <w:r>
        <w:rPr>
          <w:b/>
        </w:rPr>
        <w:t>Table 3. Documented content of the 119 routine gastrointestinal ultrasound index reports, and report-level detection conditional on that content</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Documented content of the ultrasound report</w:t>
            </w:r>
          </w:p>
        </w:tc>
        <w:tc>
          <w:tcPr>
            <w:tcW w:type="dxa" w:w="1560"/>
          </w:tcPr>
          <w:p>
            <w:r/>
            <w:r>
              <w:rPr>
                <w:rFonts w:ascii="Times New Roman" w:hAnsi="Times New Roman"/>
                <w:b/>
                <w:sz w:val="17"/>
              </w:rPr>
              <w:t>n (%) of 119 reports</w:t>
            </w:r>
          </w:p>
        </w:tc>
        <w:tc>
          <w:tcPr>
            <w:tcW w:type="dxa" w:w="1560"/>
          </w:tcPr>
          <w:p>
            <w:r/>
            <w:r>
              <w:rPr>
                <w:rFonts w:ascii="Times New Roman" w:hAnsi="Times New Roman"/>
                <w:b/>
                <w:sz w:val="17"/>
              </w:rPr>
              <w:t>2012–2018 (n=39), %</w:t>
            </w:r>
          </w:p>
        </w:tc>
        <w:tc>
          <w:tcPr>
            <w:tcW w:type="dxa" w:w="1560"/>
          </w:tcPr>
          <w:p>
            <w:r/>
            <w:r>
              <w:rPr>
                <w:rFonts w:ascii="Times New Roman" w:hAnsi="Times New Roman"/>
                <w:b/>
                <w:sz w:val="17"/>
              </w:rPr>
              <w:t>2019–2026 (n=80), %</w:t>
            </w:r>
          </w:p>
        </w:tc>
        <w:tc>
          <w:tcPr>
            <w:tcW w:type="dxa" w:w="1560"/>
          </w:tcPr>
          <w:p>
            <w:r/>
            <w:r>
              <w:rPr>
                <w:rFonts w:ascii="Times New Roman" w:hAnsi="Times New Roman"/>
                <w:b/>
                <w:sz w:val="17"/>
              </w:rPr>
              <w:t>Detection when documented, %</w:t>
            </w:r>
          </w:p>
        </w:tc>
        <w:tc>
          <w:tcPr>
            <w:tcW w:type="dxa" w:w="1560"/>
          </w:tcPr>
          <w:p>
            <w:r/>
            <w:r>
              <w:rPr>
                <w:rFonts w:ascii="Times New Roman" w:hAnsi="Times New Roman"/>
                <w:b/>
                <w:sz w:val="17"/>
              </w:rPr>
              <w:t>Detection when not documented, %</w:t>
            </w:r>
          </w:p>
        </w:tc>
      </w:tr>
      <w:tr>
        <w:tc>
          <w:tcPr>
            <w:tcW w:type="dxa" w:w="1560"/>
          </w:tcPr>
          <w:p>
            <w:r/>
            <w:r>
              <w:rPr>
                <w:rFonts w:ascii="Times New Roman" w:hAnsi="Times New Roman"/>
                <w:sz w:val="17"/>
              </w:rPr>
              <w:t>Third portion of duodenum or duodenojejunal junction</w:t>
            </w:r>
          </w:p>
        </w:tc>
        <w:tc>
          <w:tcPr>
            <w:tcW w:type="dxa" w:w="1560"/>
          </w:tcPr>
          <w:p>
            <w:r/>
            <w:r>
              <w:rPr>
                <w:rFonts w:ascii="Times New Roman" w:hAnsi="Times New Roman"/>
                <w:sz w:val="17"/>
              </w:rPr>
              <w:t>0 (0.0)</w:t>
            </w:r>
          </w:p>
        </w:tc>
        <w:tc>
          <w:tcPr>
            <w:tcW w:type="dxa" w:w="1560"/>
          </w:tcPr>
          <w:p>
            <w:r/>
            <w:r>
              <w:rPr>
                <w:rFonts w:ascii="Times New Roman" w:hAnsi="Times New Roman"/>
                <w:sz w:val="17"/>
              </w:rPr>
              <w:t>0.0</w:t>
            </w:r>
          </w:p>
        </w:tc>
        <w:tc>
          <w:tcPr>
            <w:tcW w:type="dxa" w:w="1560"/>
          </w:tcPr>
          <w:p>
            <w:r/>
            <w:r>
              <w:rPr>
                <w:rFonts w:ascii="Times New Roman" w:hAnsi="Times New Roman"/>
                <w:sz w:val="17"/>
              </w:rPr>
              <w:t>0.0</w:t>
            </w:r>
          </w:p>
        </w:tc>
        <w:tc>
          <w:tcPr>
            <w:tcW w:type="dxa" w:w="1560"/>
          </w:tcPr>
          <w:p>
            <w:r/>
            <w:r>
              <w:rPr>
                <w:rFonts w:ascii="Times New Roman" w:hAnsi="Times New Roman"/>
                <w:sz w:val="17"/>
              </w:rPr>
              <w:t>–</w:t>
            </w:r>
          </w:p>
        </w:tc>
        <w:tc>
          <w:tcPr>
            <w:tcW w:type="dxa" w:w="1560"/>
          </w:tcPr>
          <w:p>
            <w:r/>
            <w:r>
              <w:rPr>
                <w:rFonts w:ascii="Times New Roman" w:hAnsi="Times New Roman"/>
                <w:sz w:val="17"/>
              </w:rPr>
              <w:t>54.6</w:t>
            </w:r>
          </w:p>
        </w:tc>
      </w:tr>
      <w:tr>
        <w:tc>
          <w:tcPr>
            <w:tcW w:type="dxa" w:w="1560"/>
          </w:tcPr>
          <w:p>
            <w:r/>
            <w:r>
              <w:rPr>
                <w:rFonts w:ascii="Times New Roman" w:hAnsi="Times New Roman"/>
                <w:sz w:val="17"/>
              </w:rPr>
              <w:t>Duodenum mentioned in any form</w:t>
            </w:r>
          </w:p>
        </w:tc>
        <w:tc>
          <w:tcPr>
            <w:tcW w:type="dxa" w:w="1560"/>
          </w:tcPr>
          <w:p>
            <w:r/>
            <w:r>
              <w:rPr>
                <w:rFonts w:ascii="Times New Roman" w:hAnsi="Times New Roman"/>
                <w:sz w:val="17"/>
              </w:rPr>
              <w:t>6 (5.0)</w:t>
            </w:r>
          </w:p>
        </w:tc>
        <w:tc>
          <w:tcPr>
            <w:tcW w:type="dxa" w:w="1560"/>
          </w:tcPr>
          <w:p>
            <w:r/>
            <w:r>
              <w:rPr>
                <w:rFonts w:ascii="Times New Roman" w:hAnsi="Times New Roman"/>
                <w:sz w:val="17"/>
              </w:rPr>
              <w:t>7.7</w:t>
            </w:r>
          </w:p>
        </w:tc>
        <w:tc>
          <w:tcPr>
            <w:tcW w:type="dxa" w:w="1560"/>
          </w:tcPr>
          <w:p>
            <w:r/>
            <w:r>
              <w:rPr>
                <w:rFonts w:ascii="Times New Roman" w:hAnsi="Times New Roman"/>
                <w:sz w:val="17"/>
              </w:rPr>
              <w:t>3.8</w:t>
            </w:r>
          </w:p>
        </w:tc>
        <w:tc>
          <w:tcPr>
            <w:tcW w:type="dxa" w:w="1560"/>
          </w:tcPr>
          <w:p>
            <w:r/>
            <w:r>
              <w:rPr>
                <w:rFonts w:ascii="Times New Roman" w:hAnsi="Times New Roman"/>
                <w:sz w:val="17"/>
              </w:rPr>
              <w:t>33.3</w:t>
            </w:r>
          </w:p>
        </w:tc>
        <w:tc>
          <w:tcPr>
            <w:tcW w:type="dxa" w:w="1560"/>
          </w:tcPr>
          <w:p>
            <w:r/>
            <w:r>
              <w:rPr>
                <w:rFonts w:ascii="Times New Roman" w:hAnsi="Times New Roman"/>
                <w:sz w:val="17"/>
              </w:rPr>
              <w:t>55.8</w:t>
            </w:r>
          </w:p>
        </w:tc>
      </w:tr>
      <w:tr>
        <w:tc>
          <w:tcPr>
            <w:tcW w:type="dxa" w:w="1560"/>
          </w:tcPr>
          <w:p>
            <w:r/>
            <w:r>
              <w:rPr>
                <w:rFonts w:ascii="Times New Roman" w:hAnsi="Times New Roman"/>
                <w:sz w:val="17"/>
              </w:rPr>
              <w:t>Superior mesenteric artery–vein relationship</w:t>
            </w:r>
          </w:p>
        </w:tc>
        <w:tc>
          <w:tcPr>
            <w:tcW w:type="dxa" w:w="1560"/>
          </w:tcPr>
          <w:p>
            <w:r/>
            <w:r>
              <w:rPr>
                <w:rFonts w:ascii="Times New Roman" w:hAnsi="Times New Roman"/>
                <w:sz w:val="17"/>
              </w:rPr>
              <w:t>10 (8.4)</w:t>
            </w:r>
          </w:p>
        </w:tc>
        <w:tc>
          <w:tcPr>
            <w:tcW w:type="dxa" w:w="1560"/>
          </w:tcPr>
          <w:p>
            <w:r/>
            <w:r>
              <w:rPr>
                <w:rFonts w:ascii="Times New Roman" w:hAnsi="Times New Roman"/>
                <w:sz w:val="17"/>
              </w:rPr>
              <w:t>5.1</w:t>
            </w:r>
          </w:p>
        </w:tc>
        <w:tc>
          <w:tcPr>
            <w:tcW w:type="dxa" w:w="1560"/>
          </w:tcPr>
          <w:p>
            <w:r/>
            <w:r>
              <w:rPr>
                <w:rFonts w:ascii="Times New Roman" w:hAnsi="Times New Roman"/>
                <w:sz w:val="17"/>
              </w:rPr>
              <w:t>10.0</w:t>
            </w:r>
          </w:p>
        </w:tc>
        <w:tc>
          <w:tcPr>
            <w:tcW w:type="dxa" w:w="1560"/>
          </w:tcPr>
          <w:p>
            <w:r/>
            <w:r>
              <w:rPr>
                <w:rFonts w:ascii="Times New Roman" w:hAnsi="Times New Roman"/>
                <w:sz w:val="17"/>
              </w:rPr>
              <w:t>100.0</w:t>
            </w:r>
          </w:p>
        </w:tc>
        <w:tc>
          <w:tcPr>
            <w:tcW w:type="dxa" w:w="1560"/>
          </w:tcPr>
          <w:p>
            <w:r/>
            <w:r>
              <w:rPr>
                <w:rFonts w:ascii="Times New Roman" w:hAnsi="Times New Roman"/>
                <w:sz w:val="17"/>
              </w:rPr>
              <w:t>50.5</w:t>
            </w:r>
          </w:p>
        </w:tc>
      </w:tr>
      <w:tr>
        <w:tc>
          <w:tcPr>
            <w:tcW w:type="dxa" w:w="1560"/>
          </w:tcPr>
          <w:p>
            <w:r/>
            <w:r>
              <w:rPr>
                <w:rFonts w:ascii="Times New Roman" w:hAnsi="Times New Roman"/>
                <w:sz w:val="17"/>
              </w:rPr>
              <w:t>Explicit statement of vessel inversion</w:t>
            </w:r>
          </w:p>
        </w:tc>
        <w:tc>
          <w:tcPr>
            <w:tcW w:type="dxa" w:w="1560"/>
          </w:tcPr>
          <w:p>
            <w:r/>
            <w:r>
              <w:rPr>
                <w:rFonts w:ascii="Times New Roman" w:hAnsi="Times New Roman"/>
                <w:sz w:val="17"/>
              </w:rPr>
              <w:t>1 (0.8)</w:t>
            </w:r>
          </w:p>
        </w:tc>
        <w:tc>
          <w:tcPr>
            <w:tcW w:type="dxa" w:w="1560"/>
          </w:tcPr>
          <w:p>
            <w:r/>
            <w:r>
              <w:rPr>
                <w:rFonts w:ascii="Times New Roman" w:hAnsi="Times New Roman"/>
                <w:sz w:val="17"/>
              </w:rPr>
              <w:t>0.0</w:t>
            </w:r>
          </w:p>
        </w:tc>
        <w:tc>
          <w:tcPr>
            <w:tcW w:type="dxa" w:w="1560"/>
          </w:tcPr>
          <w:p>
            <w:r/>
            <w:r>
              <w:rPr>
                <w:rFonts w:ascii="Times New Roman" w:hAnsi="Times New Roman"/>
                <w:sz w:val="17"/>
              </w:rPr>
              <w:t>1.2</w:t>
            </w:r>
          </w:p>
        </w:tc>
        <w:tc>
          <w:tcPr>
            <w:tcW w:type="dxa" w:w="1560"/>
          </w:tcPr>
          <w:p>
            <w:r/>
            <w:r>
              <w:rPr>
                <w:rFonts w:ascii="Times New Roman" w:hAnsi="Times New Roman"/>
                <w:sz w:val="17"/>
              </w:rPr>
              <w:t>100.0</w:t>
            </w:r>
          </w:p>
        </w:tc>
        <w:tc>
          <w:tcPr>
            <w:tcW w:type="dxa" w:w="1560"/>
          </w:tcPr>
          <w:p>
            <w:r/>
            <w:r>
              <w:rPr>
                <w:rFonts w:ascii="Times New Roman" w:hAnsi="Times New Roman"/>
                <w:sz w:val="17"/>
              </w:rPr>
              <w:t>54.2</w:t>
            </w:r>
          </w:p>
        </w:tc>
      </w:tr>
      <w:tr>
        <w:tc>
          <w:tcPr>
            <w:tcW w:type="dxa" w:w="1560"/>
          </w:tcPr>
          <w:p>
            <w:r/>
            <w:r>
              <w:rPr>
                <w:rFonts w:ascii="Times New Roman" w:hAnsi="Times New Roman"/>
                <w:sz w:val="17"/>
              </w:rPr>
              <w:t>Enteric fluid administered</w:t>
            </w:r>
          </w:p>
        </w:tc>
        <w:tc>
          <w:tcPr>
            <w:tcW w:type="dxa" w:w="1560"/>
          </w:tcPr>
          <w:p>
            <w:r/>
            <w:r>
              <w:rPr>
                <w:rFonts w:ascii="Times New Roman" w:hAnsi="Times New Roman"/>
                <w:sz w:val="17"/>
              </w:rPr>
              <w:t>1 (0.8)</w:t>
            </w:r>
          </w:p>
        </w:tc>
        <w:tc>
          <w:tcPr>
            <w:tcW w:type="dxa" w:w="1560"/>
          </w:tcPr>
          <w:p>
            <w:r/>
            <w:r>
              <w:rPr>
                <w:rFonts w:ascii="Times New Roman" w:hAnsi="Times New Roman"/>
                <w:sz w:val="17"/>
              </w:rPr>
              <w:t>0.0</w:t>
            </w:r>
          </w:p>
        </w:tc>
        <w:tc>
          <w:tcPr>
            <w:tcW w:type="dxa" w:w="1560"/>
          </w:tcPr>
          <w:p>
            <w:r/>
            <w:r>
              <w:rPr>
                <w:rFonts w:ascii="Times New Roman" w:hAnsi="Times New Roman"/>
                <w:sz w:val="17"/>
              </w:rPr>
              <w:t>1.2</w:t>
            </w:r>
          </w:p>
        </w:tc>
        <w:tc>
          <w:tcPr>
            <w:tcW w:type="dxa" w:w="1560"/>
          </w:tcPr>
          <w:p>
            <w:r/>
            <w:r>
              <w:rPr>
                <w:rFonts w:ascii="Times New Roman" w:hAnsi="Times New Roman"/>
                <w:sz w:val="17"/>
              </w:rPr>
              <w:t>0.0</w:t>
            </w:r>
          </w:p>
        </w:tc>
        <w:tc>
          <w:tcPr>
            <w:tcW w:type="dxa" w:w="1560"/>
          </w:tcPr>
          <w:p>
            <w:r/>
            <w:r>
              <w:rPr>
                <w:rFonts w:ascii="Times New Roman" w:hAnsi="Times New Roman"/>
                <w:sz w:val="17"/>
              </w:rPr>
              <w:t>55.1</w:t>
            </w:r>
          </w:p>
        </w:tc>
      </w:tr>
      <w:tr>
        <w:tc>
          <w:tcPr>
            <w:tcW w:type="dxa" w:w="1560"/>
          </w:tcPr>
          <w:p>
            <w:r/>
            <w:r>
              <w:rPr>
                <w:rFonts w:ascii="Times New Roman" w:hAnsi="Times New Roman"/>
                <w:sz w:val="17"/>
              </w:rPr>
              <w:t>Caecal position</w:t>
            </w:r>
          </w:p>
        </w:tc>
        <w:tc>
          <w:tcPr>
            <w:tcW w:type="dxa" w:w="1560"/>
          </w:tcPr>
          <w:p>
            <w:r/>
            <w:r>
              <w:rPr>
                <w:rFonts w:ascii="Times New Roman" w:hAnsi="Times New Roman"/>
                <w:sz w:val="17"/>
              </w:rPr>
              <w:t>4 (3.4)</w:t>
            </w:r>
          </w:p>
        </w:tc>
        <w:tc>
          <w:tcPr>
            <w:tcW w:type="dxa" w:w="1560"/>
          </w:tcPr>
          <w:p>
            <w:r/>
            <w:r>
              <w:rPr>
                <w:rFonts w:ascii="Times New Roman" w:hAnsi="Times New Roman"/>
                <w:sz w:val="17"/>
              </w:rPr>
              <w:t>2.6</w:t>
            </w:r>
          </w:p>
        </w:tc>
        <w:tc>
          <w:tcPr>
            <w:tcW w:type="dxa" w:w="1560"/>
          </w:tcPr>
          <w:p>
            <w:r/>
            <w:r>
              <w:rPr>
                <w:rFonts w:ascii="Times New Roman" w:hAnsi="Times New Roman"/>
                <w:sz w:val="17"/>
              </w:rPr>
              <w:t>3.8</w:t>
            </w:r>
          </w:p>
        </w:tc>
        <w:tc>
          <w:tcPr>
            <w:tcW w:type="dxa" w:w="1560"/>
          </w:tcPr>
          <w:p>
            <w:r/>
            <w:r>
              <w:rPr>
                <w:rFonts w:ascii="Times New Roman" w:hAnsi="Times New Roman"/>
                <w:sz w:val="17"/>
              </w:rPr>
              <w:t>75.0</w:t>
            </w:r>
          </w:p>
        </w:tc>
        <w:tc>
          <w:tcPr>
            <w:tcW w:type="dxa" w:w="1560"/>
          </w:tcPr>
          <w:p>
            <w:r/>
            <w:r>
              <w:rPr>
                <w:rFonts w:ascii="Times New Roman" w:hAnsi="Times New Roman"/>
                <w:sz w:val="17"/>
              </w:rPr>
              <w:t>53.9</w:t>
            </w:r>
          </w:p>
        </w:tc>
      </w:tr>
      <w:tr>
        <w:tc>
          <w:tcPr>
            <w:tcW w:type="dxa" w:w="1560"/>
          </w:tcPr>
          <w:p>
            <w:r/>
            <w:r>
              <w:rPr>
                <w:rFonts w:ascii="Times New Roman" w:hAnsi="Times New Roman"/>
                <w:sz w:val="17"/>
              </w:rPr>
              <w:t>Whirlpool, swirl or spiral appearance</w:t>
            </w:r>
          </w:p>
        </w:tc>
        <w:tc>
          <w:tcPr>
            <w:tcW w:type="dxa" w:w="1560"/>
          </w:tcPr>
          <w:p>
            <w:r/>
            <w:r>
              <w:rPr>
                <w:rFonts w:ascii="Times New Roman" w:hAnsi="Times New Roman"/>
                <w:sz w:val="17"/>
              </w:rPr>
              <w:t>57 (47.9)</w:t>
            </w:r>
          </w:p>
        </w:tc>
        <w:tc>
          <w:tcPr>
            <w:tcW w:type="dxa" w:w="1560"/>
          </w:tcPr>
          <w:p>
            <w:r/>
            <w:r>
              <w:rPr>
                <w:rFonts w:ascii="Times New Roman" w:hAnsi="Times New Roman"/>
                <w:sz w:val="17"/>
              </w:rPr>
              <w:t>41.0</w:t>
            </w:r>
          </w:p>
        </w:tc>
        <w:tc>
          <w:tcPr>
            <w:tcW w:type="dxa" w:w="1560"/>
          </w:tcPr>
          <w:p>
            <w:r/>
            <w:r>
              <w:rPr>
                <w:rFonts w:ascii="Times New Roman" w:hAnsi="Times New Roman"/>
                <w:sz w:val="17"/>
              </w:rPr>
              <w:t>51.2</w:t>
            </w:r>
          </w:p>
        </w:tc>
        <w:tc>
          <w:tcPr>
            <w:tcW w:type="dxa" w:w="1560"/>
          </w:tcPr>
          <w:p>
            <w:r/>
            <w:r>
              <w:rPr>
                <w:rFonts w:ascii="Times New Roman" w:hAnsi="Times New Roman"/>
                <w:sz w:val="17"/>
              </w:rPr>
              <w:t>98.2</w:t>
            </w:r>
          </w:p>
        </w:tc>
        <w:tc>
          <w:tcPr>
            <w:tcW w:type="dxa" w:w="1560"/>
          </w:tcPr>
          <w:p>
            <w:r/>
            <w:r>
              <w:rPr>
                <w:rFonts w:ascii="Times New Roman" w:hAnsi="Times New Roman"/>
                <w:sz w:val="17"/>
              </w:rPr>
              <w:t>14.5</w:t>
            </w:r>
          </w:p>
        </w:tc>
      </w:tr>
      <w:tr>
        <w:tc>
          <w:tcPr>
            <w:tcW w:type="dxa" w:w="1560"/>
          </w:tcPr>
          <w:p>
            <w:r/>
            <w:r>
              <w:rPr>
                <w:rFonts w:ascii="Times New Roman" w:hAnsi="Times New Roman"/>
                <w:sz w:val="17"/>
              </w:rPr>
              <w:t>Bowel gas explicitly limiting the study</w:t>
            </w:r>
          </w:p>
        </w:tc>
        <w:tc>
          <w:tcPr>
            <w:tcW w:type="dxa" w:w="1560"/>
          </w:tcPr>
          <w:p>
            <w:r/>
            <w:r>
              <w:rPr>
                <w:rFonts w:ascii="Times New Roman" w:hAnsi="Times New Roman"/>
                <w:sz w:val="17"/>
              </w:rPr>
              <w:t>26 (21.8)</w:t>
            </w:r>
          </w:p>
        </w:tc>
        <w:tc>
          <w:tcPr>
            <w:tcW w:type="dxa" w:w="1560"/>
          </w:tcPr>
          <w:p>
            <w:r/>
            <w:r>
              <w:rPr>
                <w:rFonts w:ascii="Times New Roman" w:hAnsi="Times New Roman"/>
                <w:sz w:val="17"/>
              </w:rPr>
              <w:t>20.5</w:t>
            </w:r>
          </w:p>
        </w:tc>
        <w:tc>
          <w:tcPr>
            <w:tcW w:type="dxa" w:w="1560"/>
          </w:tcPr>
          <w:p>
            <w:r/>
            <w:r>
              <w:rPr>
                <w:rFonts w:ascii="Times New Roman" w:hAnsi="Times New Roman"/>
                <w:sz w:val="17"/>
              </w:rPr>
              <w:t>22.5</w:t>
            </w:r>
          </w:p>
        </w:tc>
        <w:tc>
          <w:tcPr>
            <w:tcW w:type="dxa" w:w="1560"/>
          </w:tcPr>
          <w:p>
            <w:r/>
            <w:r>
              <w:rPr>
                <w:rFonts w:ascii="Times New Roman" w:hAnsi="Times New Roman"/>
                <w:sz w:val="17"/>
              </w:rPr>
              <w:t>46.2</w:t>
            </w:r>
          </w:p>
        </w:tc>
        <w:tc>
          <w:tcPr>
            <w:tcW w:type="dxa" w:w="1560"/>
          </w:tcPr>
          <w:p>
            <w:r/>
            <w:r>
              <w:rPr>
                <w:rFonts w:ascii="Times New Roman" w:hAnsi="Times New Roman"/>
                <w:sz w:val="17"/>
              </w:rPr>
              <w:t>57.0</w:t>
            </w:r>
          </w:p>
        </w:tc>
      </w:tr>
      <w:tr>
        <w:tc>
          <w:tcPr>
            <w:tcW w:type="dxa" w:w="1560"/>
          </w:tcPr>
          <w:p>
            <w:r/>
            <w:r>
              <w:rPr>
                <w:rFonts w:ascii="Times New Roman" w:hAnsi="Times New Roman"/>
                <w:sz w:val="17"/>
              </w:rPr>
              <w:t>Recorded as abdominal great-vessel study</w:t>
            </w:r>
          </w:p>
        </w:tc>
        <w:tc>
          <w:tcPr>
            <w:tcW w:type="dxa" w:w="1560"/>
          </w:tcPr>
          <w:p>
            <w:r/>
            <w:r>
              <w:rPr>
                <w:rFonts w:ascii="Times New Roman" w:hAnsi="Times New Roman"/>
                <w:sz w:val="17"/>
              </w:rPr>
              <w:t>61 (51.3)</w:t>
            </w:r>
          </w:p>
        </w:tc>
        <w:tc>
          <w:tcPr>
            <w:tcW w:type="dxa" w:w="1560"/>
          </w:tcPr>
          <w:p>
            <w:r/>
            <w:r>
              <w:rPr>
                <w:rFonts w:ascii="Times New Roman" w:hAnsi="Times New Roman"/>
                <w:sz w:val="17"/>
              </w:rPr>
              <w:t>28.2</w:t>
            </w:r>
          </w:p>
        </w:tc>
        <w:tc>
          <w:tcPr>
            <w:tcW w:type="dxa" w:w="1560"/>
          </w:tcPr>
          <w:p>
            <w:r/>
            <w:r>
              <w:rPr>
                <w:rFonts w:ascii="Times New Roman" w:hAnsi="Times New Roman"/>
                <w:sz w:val="17"/>
              </w:rPr>
              <w:t>62.5</w:t>
            </w:r>
          </w:p>
        </w:tc>
        <w:tc>
          <w:tcPr>
            <w:tcW w:type="dxa" w:w="1560"/>
          </w:tcPr>
          <w:p>
            <w:r/>
            <w:r>
              <w:rPr>
                <w:rFonts w:ascii="Times New Roman" w:hAnsi="Times New Roman"/>
                <w:sz w:val="17"/>
              </w:rPr>
              <w:t>70.5</w:t>
            </w:r>
          </w:p>
        </w:tc>
        <w:tc>
          <w:tcPr>
            <w:tcW w:type="dxa" w:w="1560"/>
          </w:tcPr>
          <w:p>
            <w:r/>
            <w:r>
              <w:rPr>
                <w:rFonts w:ascii="Times New Roman" w:hAnsi="Times New Roman"/>
                <w:sz w:val="17"/>
              </w:rPr>
              <w:t>37.9</w:t>
            </w:r>
          </w:p>
        </w:tc>
      </w:tr>
      <w:tr>
        <w:tc>
          <w:tcPr>
            <w:tcW w:type="dxa" w:w="1560"/>
          </w:tcPr>
          <w:p>
            <w:r/>
            <w:r>
              <w:rPr>
                <w:rFonts w:ascii="Times New Roman" w:hAnsi="Times New Roman"/>
                <w:sz w:val="17"/>
              </w:rPr>
              <w:t>Recorded as gastrointestinal ultrasound</w:t>
            </w:r>
          </w:p>
        </w:tc>
        <w:tc>
          <w:tcPr>
            <w:tcW w:type="dxa" w:w="1560"/>
          </w:tcPr>
          <w:p>
            <w:r/>
            <w:r>
              <w:rPr>
                <w:rFonts w:ascii="Times New Roman" w:hAnsi="Times New Roman"/>
                <w:sz w:val="17"/>
              </w:rPr>
              <w:t>68 (57.1)</w:t>
            </w:r>
          </w:p>
        </w:tc>
        <w:tc>
          <w:tcPr>
            <w:tcW w:type="dxa" w:w="1560"/>
          </w:tcPr>
          <w:p>
            <w:r/>
            <w:r>
              <w:rPr>
                <w:rFonts w:ascii="Times New Roman" w:hAnsi="Times New Roman"/>
                <w:sz w:val="17"/>
              </w:rPr>
              <w:t>74.4</w:t>
            </w:r>
          </w:p>
        </w:tc>
        <w:tc>
          <w:tcPr>
            <w:tcW w:type="dxa" w:w="1560"/>
          </w:tcPr>
          <w:p>
            <w:r/>
            <w:r>
              <w:rPr>
                <w:rFonts w:ascii="Times New Roman" w:hAnsi="Times New Roman"/>
                <w:sz w:val="17"/>
              </w:rPr>
              <w:t>48.8</w:t>
            </w:r>
          </w:p>
        </w:tc>
        <w:tc>
          <w:tcPr>
            <w:tcW w:type="dxa" w:w="1560"/>
          </w:tcPr>
          <w:p>
            <w:r/>
            <w:r>
              <w:rPr>
                <w:rFonts w:ascii="Times New Roman" w:hAnsi="Times New Roman"/>
                <w:sz w:val="17"/>
              </w:rPr>
              <w:t>47.1</w:t>
            </w:r>
          </w:p>
        </w:tc>
        <w:tc>
          <w:tcPr>
            <w:tcW w:type="dxa" w:w="1560"/>
          </w:tcPr>
          <w:p>
            <w:r/>
            <w:r>
              <w:rPr>
                <w:rFonts w:ascii="Times New Roman" w:hAnsi="Times New Roman"/>
                <w:sz w:val="17"/>
              </w:rPr>
              <w:t>64.7</w:t>
            </w:r>
          </w:p>
        </w:tc>
      </w:tr>
      <w:tr>
        <w:tc>
          <w:tcPr>
            <w:tcW w:type="dxa" w:w="1560"/>
          </w:tcPr>
          <w:p>
            <w:r/>
            <w:r>
              <w:rPr>
                <w:rFonts w:ascii="Times New Roman" w:hAnsi="Times New Roman"/>
                <w:sz w:val="17"/>
              </w:rPr>
              <w:t>Performed at the bedside</w:t>
            </w:r>
          </w:p>
        </w:tc>
        <w:tc>
          <w:tcPr>
            <w:tcW w:type="dxa" w:w="1560"/>
          </w:tcPr>
          <w:p>
            <w:r/>
            <w:r>
              <w:rPr>
                <w:rFonts w:ascii="Times New Roman" w:hAnsi="Times New Roman"/>
                <w:sz w:val="17"/>
              </w:rPr>
              <w:t>9 (7.6)</w:t>
            </w:r>
          </w:p>
        </w:tc>
        <w:tc>
          <w:tcPr>
            <w:tcW w:type="dxa" w:w="1560"/>
          </w:tcPr>
          <w:p>
            <w:r/>
            <w:r>
              <w:rPr>
                <w:rFonts w:ascii="Times New Roman" w:hAnsi="Times New Roman"/>
                <w:sz w:val="17"/>
              </w:rPr>
              <w:t>0.0</w:t>
            </w:r>
          </w:p>
        </w:tc>
        <w:tc>
          <w:tcPr>
            <w:tcW w:type="dxa" w:w="1560"/>
          </w:tcPr>
          <w:p>
            <w:r/>
            <w:r>
              <w:rPr>
                <w:rFonts w:ascii="Times New Roman" w:hAnsi="Times New Roman"/>
                <w:sz w:val="17"/>
              </w:rPr>
              <w:t>11.2</w:t>
            </w:r>
          </w:p>
        </w:tc>
        <w:tc>
          <w:tcPr>
            <w:tcW w:type="dxa" w:w="1560"/>
          </w:tcPr>
          <w:p>
            <w:r/>
            <w:r>
              <w:rPr>
                <w:rFonts w:ascii="Times New Roman" w:hAnsi="Times New Roman"/>
                <w:sz w:val="17"/>
              </w:rPr>
              <w:t>22.2</w:t>
            </w:r>
          </w:p>
        </w:tc>
        <w:tc>
          <w:tcPr>
            <w:tcW w:type="dxa" w:w="1560"/>
          </w:tcPr>
          <w:p>
            <w:r/>
            <w:r>
              <w:rPr>
                <w:rFonts w:ascii="Times New Roman" w:hAnsi="Times New Roman"/>
                <w:sz w:val="17"/>
              </w:rPr>
              <w:t>57.3</w:t>
            </w:r>
          </w:p>
        </w:tc>
      </w:tr>
      <w:tr>
        <w:tc>
          <w:tcPr>
            <w:tcW w:type="dxa" w:w="1560"/>
          </w:tcPr>
          <w:p>
            <w:r/>
            <w:r>
              <w:rPr>
                <w:rFonts w:ascii="Times New Roman" w:hAnsi="Times New Roman"/>
                <w:sz w:val="17"/>
              </w:rPr>
              <w:t>Whirlpool sign (adjudicated variable)</w:t>
            </w:r>
          </w:p>
        </w:tc>
        <w:tc>
          <w:tcPr>
            <w:tcW w:type="dxa" w:w="1560"/>
          </w:tcPr>
          <w:p>
            <w:r/>
            <w:r>
              <w:rPr>
                <w:rFonts w:ascii="Times New Roman" w:hAnsi="Times New Roman"/>
                <w:sz w:val="17"/>
              </w:rPr>
              <w:t>59 (49.6)</w:t>
            </w:r>
          </w:p>
        </w:tc>
        <w:tc>
          <w:tcPr>
            <w:tcW w:type="dxa" w:w="1560"/>
          </w:tcPr>
          <w:p>
            <w:r/>
            <w:r>
              <w:rPr>
                <w:rFonts w:ascii="Times New Roman" w:hAnsi="Times New Roman"/>
                <w:sz w:val="17"/>
              </w:rPr>
              <w:t>41.0</w:t>
            </w:r>
          </w:p>
        </w:tc>
        <w:tc>
          <w:tcPr>
            <w:tcW w:type="dxa" w:w="1560"/>
          </w:tcPr>
          <w:p>
            <w:r/>
            <w:r>
              <w:rPr>
                <w:rFonts w:ascii="Times New Roman" w:hAnsi="Times New Roman"/>
                <w:sz w:val="17"/>
              </w:rPr>
              <w:t>53.8</w:t>
            </w:r>
          </w:p>
        </w:tc>
        <w:tc>
          <w:tcPr>
            <w:tcW w:type="dxa" w:w="1560"/>
          </w:tcPr>
          <w:p>
            <w:r/>
            <w:r>
              <w:rPr>
                <w:rFonts w:ascii="Times New Roman" w:hAnsi="Times New Roman"/>
                <w:sz w:val="17"/>
              </w:rPr>
              <w:t>100.0</w:t>
            </w:r>
          </w:p>
        </w:tc>
        <w:tc>
          <w:tcPr>
            <w:tcW w:type="dxa" w:w="1560"/>
          </w:tcPr>
          <w:p>
            <w:r/>
            <w:r>
              <w:rPr>
                <w:rFonts w:ascii="Times New Roman" w:hAnsi="Times New Roman"/>
                <w:sz w:val="17"/>
              </w:rPr>
              <w:t>10.0</w:t>
            </w:r>
          </w:p>
        </w:tc>
      </w:tr>
    </w:tbl>
    <w:p>
      <w:pPr>
        <w:spacing w:after="160"/>
      </w:pPr>
      <w:r>
        <w:rPr>
          <w:i/>
          <w:sz w:val="17"/>
        </w:rPr>
        <w:t>Content was coded from the findings and conclusion text of each index report by pre-specified patterns (Online Resource 1). This is an audit of what was recorded, and is a lower bound on what was performed: an element assessed but not documented cannot be distinguished here from one never assessed. The whirlpool sign appears twice because the adjudicated study variable and the text-pattern variable differ slightly (59 vs 57 reports); both are shown for transparency. Examination-type categories are not mutually exclusive.</w:t>
      </w:r>
    </w:p>
    <w:p>
      <w:pPr>
        <w:jc w:val="center"/>
      </w:pPr>
      <w:r>
        <w:drawing>
          <wp:inline xmlns:a="http://schemas.openxmlformats.org/drawingml/2006/main" xmlns:pic="http://schemas.openxmlformats.org/drawingml/2006/picture">
            <wp:extent cx="6035040" cy="2319910"/>
            <wp:docPr id="3" name="Picture 3"/>
            <wp:cNvGraphicFramePr>
              <a:graphicFrameLocks noChangeAspect="1"/>
            </wp:cNvGraphicFramePr>
            <a:graphic>
              <a:graphicData uri="http://schemas.openxmlformats.org/drawingml/2006/picture">
                <pic:pic>
                  <pic:nvPicPr>
                    <pic:cNvPr id="0" name="Figure4_us_audit.png"/>
                    <pic:cNvPicPr/>
                  </pic:nvPicPr>
                  <pic:blipFill>
                    <a:blip r:embed="rId11"/>
                    <a:stretch>
                      <a:fillRect/>
                    </a:stretch>
                  </pic:blipFill>
                  <pic:spPr>
                    <a:xfrm>
                      <a:off x="0" y="0"/>
                      <a:ext cx="6035040" cy="2319910"/>
                    </a:xfrm>
                    <a:prstGeom prst="rect"/>
                  </pic:spPr>
                </pic:pic>
              </a:graphicData>
            </a:graphic>
          </wp:inline>
        </w:drawing>
      </w:r>
    </w:p>
    <w:p>
      <w:pPr>
        <w:pStyle w:val="Heading2"/>
      </w:pPr>
      <w:r>
        <w:t>Detection changed over time, and the change tracked examination content</w:t>
      </w:r>
    </w:p>
    <w:p>
      <w:pPr>
        <w:spacing w:after="160"/>
      </w:pPr>
      <w:r>
        <w:t>Ultrasound detection was 41.0% (16/39) in 2012–2018 and 61.3% (49/80) in 2019–2026; CT 47.0% and 66.7%; UGI 77.1% and 82.3% (Table 4). For ultrasound this change was accounted for by a shift in how the examination was booked: great-vessel-coded studies rose from 28.2% to 62.5% (Fisher p&lt;0.001). Later era was associated with detection (odds ratio 2.27 [1.04–4.96], p=0.039); adding the great-vessel-coded indicator reduced the era term to 1.56 (0.67–3.62, p=0.30) while the indicator carried an odds ratio of 3.46 (1.56–7.67, p=0.002), and detection with such a study was similar in both eras (72.7% and 70.0%) against 28.6% and 46.7% without it. The coding shift tracked whirlpool documentation (35.8% of gastrointestinal-coded vs 63.0% of great-vessel-coded examinations) but not duodenal assessment (9.4% vs 2.2%).</w:t>
      </w:r>
    </w:p>
    <w:p>
      <w:pPr>
        <w:spacing w:after="160"/>
      </w:pPr>
      <w:r>
        <w:t>For CT, contrast-enhanced studies rose from 12.1% to 24.8% and enhancement was strongly associated with detection (84.6% vs 47.4%; p&lt;0.001) — confounded by indication — and adjusting for it attenuated the era term only partially (2.26 to 1.98). For the UGI series, whose technique did not change materially, there was no era effect (1.38 [0.75–2.56], p=0.30).</w:t>
      </w:r>
    </w:p>
    <w:p>
      <w:pPr>
        <w:spacing w:after="160"/>
      </w:pPr>
      <w:r>
        <w:rPr>
          <w:b/>
        </w:rPr>
        <w:t>Table 4. Change in report-level detection between eras, and the examination-content variables that account for it</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Modality</w:t>
            </w:r>
          </w:p>
        </w:tc>
        <w:tc>
          <w:tcPr>
            <w:tcW w:type="dxa" w:w="1560"/>
          </w:tcPr>
          <w:p>
            <w:r/>
            <w:r>
              <w:rPr>
                <w:rFonts w:ascii="Times New Roman" w:hAnsi="Times New Roman"/>
                <w:b/>
                <w:sz w:val="17"/>
              </w:rPr>
              <w:t>Detection 2012–2018</w:t>
            </w:r>
          </w:p>
        </w:tc>
        <w:tc>
          <w:tcPr>
            <w:tcW w:type="dxa" w:w="1560"/>
          </w:tcPr>
          <w:p>
            <w:r/>
            <w:r>
              <w:rPr>
                <w:rFonts w:ascii="Times New Roman" w:hAnsi="Times New Roman"/>
                <w:b/>
                <w:sz w:val="17"/>
              </w:rPr>
              <w:t>Detection 2019–2026</w:t>
            </w:r>
          </w:p>
        </w:tc>
        <w:tc>
          <w:tcPr>
            <w:tcW w:type="dxa" w:w="1560"/>
          </w:tcPr>
          <w:p>
            <w:r/>
            <w:r>
              <w:rPr>
                <w:rFonts w:ascii="Times New Roman" w:hAnsi="Times New Roman"/>
                <w:b/>
                <w:sz w:val="17"/>
              </w:rPr>
              <w:t>Era OR (95% CI)</w:t>
            </w:r>
          </w:p>
        </w:tc>
        <w:tc>
          <w:tcPr>
            <w:tcW w:type="dxa" w:w="1560"/>
          </w:tcPr>
          <w:p>
            <w:r/>
            <w:r>
              <w:rPr>
                <w:rFonts w:ascii="Times New Roman" w:hAnsi="Times New Roman"/>
                <w:b/>
                <w:sz w:val="17"/>
              </w:rPr>
              <w:t>Era OR after adjustment for examination content</w:t>
            </w:r>
          </w:p>
        </w:tc>
        <w:tc>
          <w:tcPr>
            <w:tcW w:type="dxa" w:w="1560"/>
          </w:tcPr>
          <w:p>
            <w:r/>
            <w:r>
              <w:rPr>
                <w:rFonts w:ascii="Times New Roman" w:hAnsi="Times New Roman"/>
                <w:b/>
                <w:sz w:val="17"/>
              </w:rPr>
              <w:t>Content variable OR (95% CI)</w:t>
            </w:r>
          </w:p>
        </w:tc>
      </w:tr>
      <w:tr>
        <w:tc>
          <w:tcPr>
            <w:tcW w:type="dxa" w:w="1560"/>
          </w:tcPr>
          <w:p>
            <w:r/>
            <w:r>
              <w:rPr>
                <w:rFonts w:ascii="Times New Roman" w:hAnsi="Times New Roman"/>
                <w:sz w:val="17"/>
              </w:rPr>
              <w:t>UGI contrast series</w:t>
            </w:r>
          </w:p>
        </w:tc>
        <w:tc>
          <w:tcPr>
            <w:tcW w:type="dxa" w:w="1560"/>
          </w:tcPr>
          <w:p>
            <w:r/>
            <w:r>
              <w:rPr>
                <w:rFonts w:ascii="Times New Roman" w:hAnsi="Times New Roman"/>
                <w:sz w:val="17"/>
              </w:rPr>
              <w:t>158/205 (77.1%)</w:t>
            </w:r>
          </w:p>
        </w:tc>
        <w:tc>
          <w:tcPr>
            <w:tcW w:type="dxa" w:w="1560"/>
          </w:tcPr>
          <w:p>
            <w:r/>
            <w:r>
              <w:rPr>
                <w:rFonts w:ascii="Times New Roman" w:hAnsi="Times New Roman"/>
                <w:sz w:val="17"/>
              </w:rPr>
              <w:t>79/96 (82.3%)</w:t>
            </w:r>
          </w:p>
        </w:tc>
        <w:tc>
          <w:tcPr>
            <w:tcW w:type="dxa" w:w="1560"/>
          </w:tcPr>
          <w:p>
            <w:r/>
            <w:r>
              <w:rPr>
                <w:rFonts w:ascii="Times New Roman" w:hAnsi="Times New Roman"/>
                <w:sz w:val="17"/>
              </w:rPr>
              <w:t>1.38 (0.75–2.56) (p=0.304)</w:t>
            </w:r>
          </w:p>
        </w:tc>
        <w:tc>
          <w:tcPr>
            <w:tcW w:type="dxa" w:w="1560"/>
          </w:tcPr>
          <w:p>
            <w:r/>
            <w:r>
              <w:rPr>
                <w:rFonts w:ascii="Times New Roman" w:hAnsi="Times New Roman"/>
                <w:sz w:val="17"/>
              </w:rPr>
              <w:t>Not applicable (technique unchanged)</w:t>
            </w:r>
          </w:p>
        </w:tc>
        <w:tc>
          <w:tcPr>
            <w:tcW w:type="dxa" w:w="1560"/>
          </w:tcPr>
          <w:p>
            <w:r/>
            <w:r>
              <w:rPr>
                <w:rFonts w:ascii="Times New Roman" w:hAnsi="Times New Roman"/>
                <w:sz w:val="17"/>
              </w:rPr>
              <w:t>–</w:t>
            </w:r>
          </w:p>
        </w:tc>
      </w:tr>
      <w:tr>
        <w:tc>
          <w:tcPr>
            <w:tcW w:type="dxa" w:w="1560"/>
          </w:tcPr>
          <w:p>
            <w:r/>
            <w:r>
              <w:rPr>
                <w:rFonts w:ascii="Times New Roman" w:hAnsi="Times New Roman"/>
                <w:sz w:val="17"/>
              </w:rPr>
              <w:t>Abdominal CT</w:t>
            </w:r>
          </w:p>
        </w:tc>
        <w:tc>
          <w:tcPr>
            <w:tcW w:type="dxa" w:w="1560"/>
          </w:tcPr>
          <w:p>
            <w:r/>
            <w:r>
              <w:rPr>
                <w:rFonts w:ascii="Times New Roman" w:hAnsi="Times New Roman"/>
                <w:sz w:val="17"/>
              </w:rPr>
              <w:t>101/215 (47.0%)</w:t>
            </w:r>
          </w:p>
        </w:tc>
        <w:tc>
          <w:tcPr>
            <w:tcW w:type="dxa" w:w="1560"/>
          </w:tcPr>
          <w:p>
            <w:r/>
            <w:r>
              <w:rPr>
                <w:rFonts w:ascii="Times New Roman" w:hAnsi="Times New Roman"/>
                <w:sz w:val="17"/>
              </w:rPr>
              <w:t>70/105 (66.7%)</w:t>
            </w:r>
          </w:p>
        </w:tc>
        <w:tc>
          <w:tcPr>
            <w:tcW w:type="dxa" w:w="1560"/>
          </w:tcPr>
          <w:p>
            <w:r/>
            <w:r>
              <w:rPr>
                <w:rFonts w:ascii="Times New Roman" w:hAnsi="Times New Roman"/>
                <w:sz w:val="17"/>
              </w:rPr>
              <w:t>2.26 (1.39–3.67) (p=0.001)</w:t>
            </w:r>
          </w:p>
        </w:tc>
        <w:tc>
          <w:tcPr>
            <w:tcW w:type="dxa" w:w="1560"/>
          </w:tcPr>
          <w:p>
            <w:r/>
            <w:r>
              <w:rPr>
                <w:rFonts w:ascii="Times New Roman" w:hAnsi="Times New Roman"/>
                <w:sz w:val="17"/>
              </w:rPr>
              <w:t>1.98 (1.20–3.28) (p=0.008)</w:t>
            </w:r>
          </w:p>
        </w:tc>
        <w:tc>
          <w:tcPr>
            <w:tcW w:type="dxa" w:w="1560"/>
          </w:tcPr>
          <w:p>
            <w:r/>
            <w:r>
              <w:rPr>
                <w:rFonts w:ascii="Times New Roman" w:hAnsi="Times New Roman"/>
                <w:sz w:val="17"/>
              </w:rPr>
              <w:t>Contrast enhancement 5.53 (2.49–12.27) (p&lt;0.001)</w:t>
            </w:r>
          </w:p>
        </w:tc>
      </w:tr>
      <w:tr>
        <w:tc>
          <w:tcPr>
            <w:tcW w:type="dxa" w:w="1560"/>
          </w:tcPr>
          <w:p>
            <w:r/>
            <w:r>
              <w:rPr>
                <w:rFonts w:ascii="Times New Roman" w:hAnsi="Times New Roman"/>
                <w:sz w:val="17"/>
              </w:rPr>
              <w:t>Gastrointestinal ultrasound</w:t>
            </w:r>
          </w:p>
        </w:tc>
        <w:tc>
          <w:tcPr>
            <w:tcW w:type="dxa" w:w="1560"/>
          </w:tcPr>
          <w:p>
            <w:r/>
            <w:r>
              <w:rPr>
                <w:rFonts w:ascii="Times New Roman" w:hAnsi="Times New Roman"/>
                <w:sz w:val="17"/>
              </w:rPr>
              <w:t>16/39 (41.0%)</w:t>
            </w:r>
          </w:p>
        </w:tc>
        <w:tc>
          <w:tcPr>
            <w:tcW w:type="dxa" w:w="1560"/>
          </w:tcPr>
          <w:p>
            <w:r/>
            <w:r>
              <w:rPr>
                <w:rFonts w:ascii="Times New Roman" w:hAnsi="Times New Roman"/>
                <w:sz w:val="17"/>
              </w:rPr>
              <w:t>49/80 (61.3%)</w:t>
            </w:r>
          </w:p>
        </w:tc>
        <w:tc>
          <w:tcPr>
            <w:tcW w:type="dxa" w:w="1560"/>
          </w:tcPr>
          <w:p>
            <w:r/>
            <w:r>
              <w:rPr>
                <w:rFonts w:ascii="Times New Roman" w:hAnsi="Times New Roman"/>
                <w:sz w:val="17"/>
              </w:rPr>
              <w:t>2.27 (1.04–4.96) (p=0.039)</w:t>
            </w:r>
          </w:p>
        </w:tc>
        <w:tc>
          <w:tcPr>
            <w:tcW w:type="dxa" w:w="1560"/>
          </w:tcPr>
          <w:p>
            <w:r/>
            <w:r>
              <w:rPr>
                <w:rFonts w:ascii="Times New Roman" w:hAnsi="Times New Roman"/>
                <w:sz w:val="17"/>
              </w:rPr>
              <w:t>1.56 (0.67–3.62) (p=0.303)</w:t>
            </w:r>
          </w:p>
        </w:tc>
        <w:tc>
          <w:tcPr>
            <w:tcW w:type="dxa" w:w="1560"/>
          </w:tcPr>
          <w:p>
            <w:r/>
            <w:r>
              <w:rPr>
                <w:rFonts w:ascii="Times New Roman" w:hAnsi="Times New Roman"/>
                <w:sz w:val="17"/>
              </w:rPr>
              <w:t>Great-vessel-coded examination 3.46 (1.56–7.67) (p=0.002)</w:t>
            </w:r>
          </w:p>
        </w:tc>
      </w:tr>
    </w:tbl>
    <w:p>
      <w:pPr>
        <w:spacing w:after="160"/>
      </w:pPr>
      <w:r>
        <w:rPr>
          <w:i/>
          <w:sz w:val="17"/>
        </w:rPr>
        <w:t>Modality-specific logistic models. For ultrasound the content variable is whether the examination was booked and reported under the abdominal great-vessel item rather than the gastrointestinal ultrasound item (great-vessel-coded); this is an ordering and reporting label, not a record of technique. For CT the variable is intravenous contrast enhancement. Attenuation of the era odds ratio after the content variable is added indicates that the temporal change operated through what the examination was rather than through calendar time. The content variables were not randomly assigned and are themselves confounded by indication; these models are explanatory rather than causal.</w:t>
      </w:r>
    </w:p>
    <w:p>
      <w:pPr>
        <w:pStyle w:val="Heading2"/>
      </w:pPr>
      <w:r>
        <w:t>The selected subgroup, and the populations this cohort does not describe</w:t>
      </w:r>
    </w:p>
    <w:p>
      <w:pPr>
        <w:spacing w:after="160"/>
      </w:pPr>
      <w:r>
        <w:t>Fifty-nine children underwent all three modalities: not a random sample but a subgroup in whom the diagnosis had remained uncertain, more severely and more recently affected than the rest (96.6% volvulus vs 86.6%; 83.1% neonates vs 65.5%). The UGI series was positive in 76.3%, ultrasound in 52.5% and CT in 47.5% (Cochran's Q p=0.001), unchanged when restricted to examinations within 48 h or 24 h of each other (Online Resource 2). Only 62 children (13.3%) had malrotation without volvulus, of whom 6 underwent ultrasound, so the cohort says very little about the children in whom the ultrasound-first debate is most active — older children with intermittent vomiting, incidental or non-volvulus malrotation, and stable outpatients — and we make no claims about them.</w:t>
      </w:r>
    </w:p>
    <w:p>
      <w:pPr>
        <w:pStyle w:val="Heading1"/>
      </w:pPr>
      <w:r>
        <w:t>Discussion</w:t>
      </w:r>
    </w:p>
    <w:p>
      <w:pPr>
        <w:spacing w:after="160"/>
      </w:pPr>
      <w:r>
        <w:t>In 13.5 years of routine practice, ultrasound reports for children who proved to have intestinal malrotation almost never contained the findings on which modern ultrasound accuracy depends. D3 and the duodenojejunal junction appeared in none of 119 examinations, the mesenteric-vessel relationship in 8.4%, enteric fluid in one. What the reports did contain was the whirlpool sign, in about half, and detection followed it almost perfectly. Ultrasound here functioned as a test for midgut volvulus: a child whose midgut was not actively twisted when scanned was unlikely to be identified.</w:t>
      </w:r>
    </w:p>
    <w:p>
      <w:pPr>
        <w:spacing w:after="160"/>
      </w:pPr>
      <w:r>
        <w:t>This reframes the most-cited number in our data. Ultrasound named malrotation in 54.6% of surgically confirmed children who underwent it, against published sensitivities of 93–97% [8, 9, 12, 19]. It would be wrong to read that as evidence that ultrasound performs poorly: the published figures came from examinations that assessed D3 and the duodenojejunal junction, often with enteric fluid, by readers alert to the diagnosis [12, 18, 20, 21]; ours, on the evidence of their own reports, did not. The 2021 systematic review anticipated this, finding better performance where the mesenteric vessels and enteric fluid were used [8].</w:t>
      </w:r>
    </w:p>
    <w:p>
      <w:pPr>
        <w:spacing w:after="160"/>
      </w:pPr>
      <w:r>
        <w:t>The temporal analysis points the same way. Detection improved from 41% to 61%, but not as a property of calendar time: once the shift toward great-vessel-coded examination was taken into account the era effect fell to a non-significant 1.56, the coding indicator carried an odds ratio of 3.46, and detection with such a study was about 70% in both eras. The department's account matches: it reports no equipment, staffing or protocol change, attributing the shift from about 2021 to growing awareness of the diagnosis. That awareness attached to the whirlpool sign rather than to duodenal anatomy, so even the improvement ran toward detecting volvulus rather than the duodenal assessment underpinning the published figures. The remaining gap to 93–97% is then plausibly attributable to the elements that still never appeared in the reports — D3, the duodenojejunal junction and enteric fluid [20, 21] — although whether adding them would close it is untestable here, and the counter-argument that D3 position alone cannot confidently diagnose malrotation deserves weight [22].</w:t>
      </w:r>
    </w:p>
    <w:p>
      <w:pPr>
        <w:spacing w:after="160"/>
      </w:pPr>
      <w:r>
        <w:t>Three features of the design make the between-modality differences uninterpretable as accuracy, and we regard them as decisive rather than as caveats. The reference standard is not independent of the index tests: the surgeon knew the preoperative imaging, and a positive UGI series often precipitated the operation that confirmed the diagnosis — an incorporation bias asymmetrical between tests. Pathway position differed, the UGI series being the last examination before operation in 75% of children who received it. And the modalities were used in different children for different reasons (Table 1), which no adjustment can undo.</w:t>
      </w:r>
    </w:p>
    <w:p>
      <w:pPr>
        <w:spacing w:after="160"/>
      </w:pPr>
      <w:r>
        <w:t>This study does not rank modalities or resolve the ultrasound-first debate; it measures the distance between performance as established in the literature and as delivered by a real department's reports. Departments adopting an ultrasound-first pathway on the strength of 93–97% sensitivities should first establish that their own examinations resemble those that produced them. Awareness alone moved detection from 41% to 61% here but left the duodenal landmarks unexamined; a structured report requiring explicit statements about D3, the duodenojejunal junction, the vessel relationship and study adequacy would anchor what awareness achieved unevenly. Where such an examination cannot be delivered, a negative ultrasound should not exclude malrotation in a child with persistent suspicion.</w:t>
      </w:r>
    </w:p>
    <w:p>
      <w:pPr>
        <w:pStyle w:val="Heading2"/>
      </w:pPr>
      <w:r>
        <w:t>Limitations</w:t>
      </w:r>
    </w:p>
    <w:p>
      <w:pPr>
        <w:spacing w:after="160"/>
      </w:pPr>
      <w:r>
        <w:t>This is not a diagnostic accuracy study: the cohort was assembled on surgically confirmed disease, so specificity and predictive values cannot be estimated and the detection rates do not transfer to children investigated for suspected malrotation, in whom contemporary studies report far higher ultrasound performance [8, 12, 19]. The cohort is heavily skewed toward severe neonatal disease and says little about older children with intermittent symptoms, incidental or non-volvulus malrotation, or stable outpatients. Modality choice and the decision to operate were clinically entangled, and the 55 children without an index test were excluded from the denominators, an informative missingness of unknown direction.</w:t>
      </w:r>
    </w:p>
    <w:p>
      <w:pPr>
        <w:spacing w:after="160"/>
      </w:pPr>
      <w:r>
        <w:t>Index tests were classified from report text rather than blinded image review, so this study measures reported detection, not achievable image-based accuracy: a finding seen but not written, and an inadequate examination reported as normal, are indistinguishable here. We regard this as the boundary of the question rather than a defect in answering it, since the report is what the clinician acts on. Validation rested on one adjudicator, comparisons were not adjusted for multiplicity, and radiation dose metrics could not be captured. Whether this single centre's deficit generalises is unknown.</w:t>
      </w:r>
    </w:p>
    <w:p>
      <w:pPr>
        <w:pStyle w:val="Heading1"/>
      </w:pPr>
      <w:r>
        <w:t>Conclusion</w:t>
      </w:r>
    </w:p>
    <w:p>
      <w:pPr>
        <w:spacing w:after="160"/>
      </w:pPr>
      <w:r>
        <w:t>Routine ultrasound reports for children with surgically confirmed intestinal malrotation essentially never documented the duodenal landmarks that underpin contemporary ultrasound accuracy, and detection tracked the whirlpool sign almost perfectly: ultrasound here was, in practice, a test for midgut volvulus rather than for malrotation, and its improvement over time followed a shift in examination type rather than the passage of time. These report-level detection rates establish no sensitivity, specificity or ranking of the modalities and should not be used to argue against ultrasound-first pathways. They argue instead that a department's own technique and reporting content determine whether published performance is achievable locally — measurable, and correctable, by audit.</w:t>
      </w:r>
    </w:p>
    <w:p>
      <w:pPr>
        <w:pStyle w:val="Heading1"/>
      </w:pPr>
      <w:r>
        <w:t>Abbreviations</w:t>
      </w:r>
    </w:p>
    <w:p>
      <w:pPr>
        <w:spacing w:after="160"/>
      </w:pPr>
      <w:r>
        <w:t>CI: Confidence interval; CTDIvol: Volume CT dose index; D3: Third portion of the duodenum; GEE: Generalised estimating equation; IQR: Interquartile range; OR: Odds ratio; STARD: Standards for Reporting of Diagnostic Accuracy Studies; STROBE: Strengthening the Reporting of Observational Studies in Epidemiology; UGI: Upper gastrointestinal</w:t>
      </w:r>
    </w:p>
    <w:p>
      <w:pPr>
        <w:pStyle w:val="Heading1"/>
      </w:pPr>
      <w:r>
        <w:t>Supplementary Information</w:t>
      </w:r>
    </w:p>
    <w:p>
      <w:pPr>
        <w:spacing w:after="160"/>
      </w:pPr>
      <w:r>
        <w:rPr>
          <w:b/>
        </w:rPr>
        <w:t>Online Resource 1.</w:t>
      </w:r>
      <w:r>
        <w:t xml:space="preserve"> Text-classification algorithm and report-content audit: full rule dictionary, negation and scope handling, priority rules, worked examples of misclassification, the per-modality distribution of positive, negative and tentative labels, and a runnable reference implementation of the rule set (`Online_Resource_1_classifier.py`), which reproduces 97.7% of the final labels.</w:t>
      </w:r>
    </w:p>
    <w:p>
      <w:pPr>
        <w:spacing w:after="160"/>
      </w:pPr>
      <w:r>
        <w:rPr>
          <w:b/>
        </w:rPr>
        <w:t>Online Resource 2.</w:t>
      </w:r>
      <w:r>
        <w:t xml:space="preserve"> Between-modality generalised estimating equation models; the subgroup receiving all three examinations, with 48-h and 24-h timing sensitivity analyses; detection stratified by midgut volvulus and by age; and detection of a volvulus-specific sign among children with confirmed volvulus.</w:t>
      </w:r>
    </w:p>
    <w:p>
      <w:pPr>
        <w:spacing w:after="160"/>
      </w:pPr>
      <w:r>
        <w:rPr>
          <w:b/>
        </w:rPr>
        <w:t>Online Resource 3.</w:t>
      </w:r>
      <w:r>
        <w:t xml:space="preserve"> Content audit of the 320 CT and 301 upper gastrointestinal series index reports, with detection conditional on documented content.</w:t>
      </w:r>
    </w:p>
    <w:p>
      <w:pPr>
        <w:pStyle w:val="Heading1"/>
      </w:pPr>
      <w:r>
        <w:t>Declarations</w:t>
      </w:r>
    </w:p>
    <w:p>
      <w:pPr>
        <w:spacing w:after="160"/>
      </w:pPr>
      <w:r>
        <w:rPr>
          <w:b/>
        </w:rPr>
        <w:t>Acknowledgements:</w:t>
      </w:r>
      <w:r>
        <w:t xml:space="preserve"> Provided on the separate title page.</w:t>
      </w:r>
    </w:p>
    <w:p>
      <w:pPr>
        <w:spacing w:after="160"/>
      </w:pPr>
      <w:r>
        <w:rPr>
          <w:b/>
        </w:rPr>
        <w:t>Funding:</w:t>
      </w:r>
      <w:r>
        <w:t xml:space="preserve"> Provided on the separate title page.</w:t>
      </w:r>
    </w:p>
    <w:p>
      <w:pPr>
        <w:spacing w:after="160"/>
      </w:pPr>
      <w:r>
        <w:rPr>
          <w:b/>
        </w:rPr>
        <w:t>Competing interests:</w:t>
      </w:r>
      <w:r>
        <w:t xml:space="preserve"> The authors declare that they have no competing interests.</w:t>
      </w:r>
    </w:p>
    <w:p>
      <w:pPr>
        <w:spacing w:after="160"/>
      </w:pPr>
      <w:r>
        <w:rPr>
          <w:b/>
        </w:rPr>
        <w:t>Ethics approval and consent to participate:</w:t>
      </w:r>
      <w:r>
        <w:t xml:space="preserve"> This study was approved by the institutional review board of the participating institution (approval number provided on the title page), and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Availability of data and materials:</w:t>
      </w:r>
      <w:r>
        <w:t xml:space="preserve"> The de-identified analysis dataset used pseudonymised research identifiers rather than direct identifiers; it is nonetheless not publicly available because of institutional and ethical restrictions on sharing patient-level clinical data and the potential for re-identification within this small, single-centre disease cohort. The complete text-classification rule set, a runnable reference implementation of it, and the report-content audit patterns are provided in Online Resource 1. De-identified data may be made available by the corresponding author upon reasonable request and with permission of the institutional review board.</w:t>
      </w:r>
    </w:p>
    <w:p>
      <w:pPr>
        <w:spacing w:after="160"/>
      </w:pPr>
      <w:r>
        <w:rPr>
          <w:b/>
        </w:rPr>
        <w:t>Authors' contributions:</w:t>
      </w:r>
      <w:r>
        <w:t xml:space="preserve"> Provided on the separate title page.</w:t>
      </w:r>
    </w:p>
    <w:p>
      <w:pPr>
        <w:pStyle w:val="Heading1"/>
      </w:pPr>
      <w:r>
        <w:t>References</w:t>
      </w:r>
    </w:p>
    <w:p>
      <w:pPr>
        <w:spacing w:after="60"/>
      </w:pPr>
      <w:r>
        <w:rPr>
          <w:sz w:val="20"/>
        </w:rPr>
        <w:t>1. Marine MB, Karmazyn B (2014) Imaging of malrotation in the neonate. Semin Ultrasound CT MR 35:555–570 https://doi.org/10.1053/j.sult.2014.08.004</w:t>
      </w:r>
    </w:p>
    <w:p>
      <w:pPr>
        <w:spacing w:after="60"/>
      </w:pPr>
      <w:r>
        <w:rPr>
          <w:sz w:val="20"/>
        </w:rPr>
        <w:t>2. Martinez SA, Fligor SC, Tsikis S, et al (2023) IMPOWER: a national patient-generated registry for intestinal malrotation exploring diagnosis, treatment, and surgical outcomes. Orphanet J Rare Dis 18:113 https://doi.org/10.1186/s13023-023-02722-5</w:t>
      </w:r>
    </w:p>
    <w:p>
      <w:pPr>
        <w:spacing w:after="60"/>
      </w:pPr>
      <w:r>
        <w:rPr>
          <w:sz w:val="20"/>
        </w:rPr>
        <w:t>3. Yang X, Wang W, Wang K, et al (2024) Identification and treatment of intestinal malrotation with midgut volvulus in childhood: a multicenter retrospective study. Front Pediatr 12:1390856 https://doi.org/10.3389/fped.2024.1390856</w:t>
      </w:r>
    </w:p>
    <w:p>
      <w:pPr>
        <w:spacing w:after="60"/>
      </w:pPr>
      <w:r>
        <w:rPr>
          <w:sz w:val="20"/>
        </w:rPr>
        <w:t>4. Menghwani H, Piplani R, Yhoshu E, et al (2023) Delayed presentation of malrotation: case series and literature review. J Indian Assoc Pediatr Surg 28:271–277 https://doi.org/10.4103/jiaps.jiaps_2_23</w:t>
      </w:r>
    </w:p>
    <w:p>
      <w:pPr>
        <w:spacing w:after="60"/>
      </w:pPr>
      <w:r>
        <w:rPr>
          <w:sz w:val="20"/>
        </w:rPr>
        <w:t>5. Mattioli G, Gallo E, Wong MCY, et al (2024) Diagnostic accuracy of upper gastrointestinal series in children with suspected intestinal malrotation. Updates Surg 76:201–208 https://doi.org/10.1007/s13304-023-01559-8</w:t>
      </w:r>
    </w:p>
    <w:p>
      <w:pPr>
        <w:spacing w:after="60"/>
      </w:pPr>
      <w:r>
        <w:rPr>
          <w:sz w:val="20"/>
        </w:rPr>
        <w:t>6. Sizemore AW, Rabbani KZ, Ladd A, Applegate KE (2008) Diagnostic performance of the upper gastrointestinal series in the evaluation of children with clinically suspected malrotation. Pediatr Radiol 38:518–528 https://doi.org/10.1007/s00247-008-0762-8</w:t>
      </w:r>
    </w:p>
    <w:p>
      <w:pPr>
        <w:spacing w:after="60"/>
      </w:pPr>
      <w:r>
        <w:rPr>
          <w:sz w:val="20"/>
        </w:rPr>
        <w:t>7. Shimanuki Y, Aihara T, Takano H, et al (1996) Clockwise whirlpool sign at color Doppler US: an objective and definite sign of midgut volvulus. Radiology 199:261–264 https://doi.org/10.1148/radiology.199.1.8633156</w:t>
      </w:r>
    </w:p>
    <w:p>
      <w:pPr>
        <w:spacing w:after="60"/>
      </w:pPr>
      <w:r>
        <w:rPr>
          <w:sz w:val="20"/>
        </w:rPr>
        <w:t>8. Nguyen HN, Kulkarni M, Jose J, et al (2021) Ultrasound for the diagnosis of malrotation and volvulus in children and adolescents: a systematic review and meta-analysis. Arch Dis Child 106:1171–1178 https://doi.org/10.1136/archdischild-2020-321082</w:t>
      </w:r>
    </w:p>
    <w:p>
      <w:pPr>
        <w:spacing w:after="60"/>
      </w:pPr>
      <w:r>
        <w:rPr>
          <w:sz w:val="20"/>
        </w:rPr>
        <w:t>9. Nguyen HN, Navarro OM, Bloom DA, et al (2022) Ultrasound for midgut malrotation and midgut volvulus: AJR expert panel narrative review. AJR Am J Roentgenol 218:931–939 https://doi.org/10.2214/AJR.21.27242</w:t>
      </w:r>
    </w:p>
    <w:p>
      <w:pPr>
        <w:spacing w:after="60"/>
      </w:pPr>
      <w:r>
        <w:rPr>
          <w:sz w:val="20"/>
        </w:rPr>
        <w:t>10. Taylor GA (2011) CT appearance of the duodenum and mesenteric vessels in children with normal and abnormal bowel rotation. Pediatr Radiol 41:1378–1383 https://doi.org/10.1007/s00247-011-2118-z</w:t>
      </w:r>
    </w:p>
    <w:p>
      <w:pPr>
        <w:spacing w:after="60"/>
      </w:pPr>
      <w:r>
        <w:rPr>
          <w:sz w:val="20"/>
        </w:rPr>
        <w:t>11. Sodhi KS, Bhatia A, Saxena AK, et al (2014) Anticlockwise swirl of mesenteric vessels: a normal CT appearance, retrospective analysis of 200 pediatric patients. Eur J Radiol 83:710–714 https://doi.org/10.1016/j.ejrad.2013.12.026</w:t>
      </w:r>
    </w:p>
    <w:p>
      <w:pPr>
        <w:spacing w:after="60"/>
      </w:pPr>
      <w:r>
        <w:rPr>
          <w:sz w:val="20"/>
        </w:rPr>
        <w:t>12. Nguyen HN, El-Ali AM, Van Tassel D, et al (2025) Diagnostic performance of ultrasound for diagnosing midgut malrotation and volvulus in children: a multiinstitutional retrospective review. AJR Am J Roentgenol 225:e2532660 https://doi.org/10.2214/AJR.25.32660</w:t>
      </w:r>
    </w:p>
    <w:p>
      <w:pPr>
        <w:spacing w:after="60"/>
      </w:pPr>
      <w:r>
        <w:rPr>
          <w:sz w:val="20"/>
        </w:rPr>
        <w:t>13. Applegate KE, Anderson JM, Klatte EC (2006) Intestinal malrotation in children: a problem-solving approach to the upper gastrointestinal series. Radiographics 26:1485–1500 https://doi.org/10.1148/rg.265055167</w:t>
      </w:r>
    </w:p>
    <w:p>
      <w:pPr>
        <w:spacing w:after="60"/>
      </w:pPr>
      <w:r>
        <w:rPr>
          <w:sz w:val="20"/>
        </w:rPr>
        <w:t>14. von Elm E, Altman DG, Egger M, et al (2007) The Strengthening the Reporting of Observational Studies in Epidemiology (STROBE) statement: guidelines for reporting observational studies. Ann Intern Med 147:573–577 https://doi.org/10.7326/0003-4819-147-8-200710160-00010</w:t>
      </w:r>
    </w:p>
    <w:p>
      <w:pPr>
        <w:spacing w:after="60"/>
      </w:pPr>
      <w:r>
        <w:rPr>
          <w:sz w:val="20"/>
        </w:rPr>
        <w:t>15. López-Úbeda P, Martín-Noguerol T, Juluru K, Luna A (2022) Natural language processing in radiology: update on clinical applications. J Am Coll Radiol 19:1271–1285 https://doi.org/10.1016/j.jacr.2022.06.016</w:t>
      </w:r>
    </w:p>
    <w:p>
      <w:pPr>
        <w:spacing w:after="60"/>
      </w:pPr>
      <w:r>
        <w:rPr>
          <w:sz w:val="20"/>
        </w:rPr>
        <w:t>16. Zeger SL, Liang KY (1986) Longitudinal data analysis for discrete and continuous outcomes. Biometrics 42:121–130 https://doi.org/10.2307/2531248</w:t>
      </w:r>
    </w:p>
    <w:p>
      <w:pPr>
        <w:spacing w:after="60"/>
      </w:pPr>
      <w:r>
        <w:rPr>
          <w:sz w:val="20"/>
        </w:rPr>
        <w:t>17. Smitthimedhin A, Suarez A, Webb RL, Otero HJ (2018) Mimics of malrotation on pediatric upper gastrointestinal series: a pictorial review. Abdom Radiol (NY) 43:2246–2254 https://doi.org/10.1007/s00261-018-1537-9</w:t>
      </w:r>
    </w:p>
    <w:p>
      <w:pPr>
        <w:spacing w:after="60"/>
      </w:pPr>
      <w:r>
        <w:rPr>
          <w:sz w:val="20"/>
        </w:rPr>
        <w:t>18. McCurdie FK, Meshaka R, Leung G, et al (2024) Ultrasound for infantile midgut malrotation: techniques, pearls, and pitfalls. Pediatr Radiol 54:2099–2111 https://doi.org/10.1007/s00247-024-06067-4</w:t>
      </w:r>
    </w:p>
    <w:p>
      <w:pPr>
        <w:spacing w:after="60"/>
      </w:pPr>
      <w:r>
        <w:rPr>
          <w:sz w:val="20"/>
        </w:rPr>
        <w:t>19. Binu V, Nicholson C, Cundy T, et al (2021) Ultrasound imaging as the first line of investigation to diagnose intestinal malrotation in children: safety and efficacy. J Pediatr Surg 56:2224–2228 https://doi.org/10.1016/j.jpedsurg.2021.04.009</w:t>
      </w:r>
    </w:p>
    <w:p>
      <w:pPr>
        <w:spacing w:after="60"/>
      </w:pPr>
      <w:r>
        <w:rPr>
          <w:sz w:val="20"/>
        </w:rPr>
        <w:t>20. Menten R, Reding R, Godding V, et al (2012) Sonographic assessment of the retroperitoneal position of the third portion of the duodenum: an indicator of normal intestinal rotation. Pediatr Radiol 42:941–945 https://doi.org/10.1007/s00247-012-2403-5</w:t>
      </w:r>
    </w:p>
    <w:p>
      <w:pPr>
        <w:spacing w:after="60"/>
      </w:pPr>
      <w:r>
        <w:rPr>
          <w:sz w:val="20"/>
        </w:rPr>
        <w:t>21. Hennessey I, John R, Gent R, Goh DW (2014) Utility of sonographic assessment of the position of the third part of the duodenum using water instillation in intestinal malrotation: a single-center retrospective audit. Pediatr Radiol 44:387–391 https://doi.org/10.1007/s00247-013-2839-2</w:t>
      </w:r>
    </w:p>
    <w:p>
      <w:pPr>
        <w:spacing w:after="60"/>
      </w:pPr>
      <w:r>
        <w:rPr>
          <w:sz w:val="20"/>
        </w:rPr>
        <w:t>22. Karmazyn B, Cohen MD (2015) Based on the position of the third portion of the duodenum at sonography, it is not possible to confidently diagnose malrotation. Pediatr Radiol 45:138–139 https://doi.org/10.1007/s00247-014-3068-z</w:t>
      </w:r>
    </w:p>
    <w:p>
      <w:pPr>
        <w:pStyle w:val="Heading1"/>
      </w:pPr>
      <w:r>
        <w:t>Figure legends</w:t>
      </w:r>
    </w:p>
    <w:p>
      <w:pPr>
        <w:spacing w:after="160"/>
      </w:pPr>
      <w:r>
        <w:rPr>
          <w:b/>
        </w:rPr>
        <w:t>Fig. 1 Study flow and the imaging received by children without an index test.</w:t>
      </w:r>
      <w:r>
        <w:t xml:space="preserve"> Assembly of the surgically confirmed malrotation cohort and availability of each preoperative index test. Every one of the 55 children who received none of the three index examinations nonetheless had other preoperative imaging; the breakdown is shown at right.</w:t>
      </w:r>
    </w:p>
    <w:p>
      <w:pPr>
        <w:spacing w:after="160"/>
      </w:pPr>
      <w:r>
        <w:rPr>
          <w:b/>
        </w:rPr>
        <w:t>Fig.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do not constitute sensitivity.</w:t>
      </w:r>
    </w:p>
    <w:p>
      <w:pPr>
        <w:spacing w:after="160"/>
      </w:pPr>
      <w:r>
        <w:rPr>
          <w:b/>
        </w:rPr>
        <w:t>Fig. 3 Ultrasound report content and detection conditional on that content.</w:t>
      </w:r>
      <w:r>
        <w:t xml:space="preserve"> </w:t>
      </w:r>
      <w:r>
        <w:rPr>
          <w:b/>
        </w:rPr>
        <w:t>a</w:t>
      </w:r>
      <w:r>
        <w:t xml:space="preserve"> Documented content of the 119 ultrasound index reports. </w:t>
      </w:r>
      <w:r>
        <w:rPr>
          <w:b/>
        </w:rPr>
        <w:t>b</w:t>
      </w:r>
      <w:r>
        <w:t xml:space="preserve"> Report-level detection conditional on that content. No report documented the third portion of the duodenum or the duodenojejunal junction; detection was 100% when a whirlpool sign was recorded and 10% when it was not.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