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r>
              <w:rPr>
                <w:rFonts w:ascii="Times New Roman" w:hAnsi="Times New Roman"/>
                <w:b/>
                <w:i w:val="0"/>
                <w:sz w:val="17"/>
              </w:rPr>
              <w:t xml:space="preserve">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&lt;.001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 xml:space="preserve">The pre-specified modality-by-volvulus interaction could not be estimated across all three modalities. No ultrasound examination was positive among the five children without volvulus, so the model exhibits complete separation and does not converge; any p value from such a fit is uninterpretable and none is reported. For the estimable UGI-versus-CT comparison the interaction OR was 0.92 (95% CI 0.32–2.66, </w:t>
      </w:r>
      <w:r>
        <w:rPr>
          <w:i/>
        </w:rPr>
        <w:t>P</w:t>
      </w:r>
      <w:r>
        <w:t xml:space="preserve"> = .87),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Cochran Q,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CT: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24/6, </w:t>
            </w:r>
            <w:r>
              <w:rPr>
                <w:rFonts w:ascii="Times New Roman" w:hAnsi="Times New Roman"/>
                <w:i/>
                <w:sz w:val="17"/>
              </w:rPr>
              <w:t>P</w:t>
            </w:r>
            <w:r>
              <w:rPr>
                <w:rFonts w:ascii="Times New Roman" w:hAnsi="Times New Roman"/>
                <w:i w:val="0"/>
                <w:sz w:val="17"/>
              </w:rPr>
              <w:t xml:space="preserve"> = .001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20/4, </w:t>
            </w:r>
            <w:r>
              <w:rPr>
                <w:rFonts w:ascii="Times New Roman" w:hAnsi="Times New Roman"/>
                <w:i/>
                <w:sz w:val="17"/>
              </w:rPr>
              <w:t>P</w:t>
            </w:r>
            <w:r>
              <w:rPr>
                <w:rFonts w:ascii="Times New Roman" w:hAnsi="Times New Roman"/>
                <w:i w:val="0"/>
                <w:sz w:val="17"/>
              </w:rPr>
              <w:t xml:space="preserve"> = .002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12/1, </w:t>
            </w:r>
            <w:r>
              <w:rPr>
                <w:rFonts w:ascii="Times New Roman" w:hAnsi="Times New Roman"/>
                <w:i/>
                <w:sz w:val="17"/>
              </w:rPr>
              <w:t>P</w:t>
            </w:r>
            <w:r>
              <w:rPr>
                <w:rFonts w:ascii="Times New Roman" w:hAnsi="Times New Roman"/>
                <w:i w:val="0"/>
                <w:sz w:val="17"/>
              </w:rPr>
              <w:t xml:space="preserve"> = .003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US: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20/6, </w:t>
            </w:r>
            <w:r>
              <w:rPr>
                <w:rFonts w:ascii="Times New Roman" w:hAnsi="Times New Roman"/>
                <w:i/>
                <w:sz w:val="17"/>
              </w:rPr>
              <w:t>P</w:t>
            </w:r>
            <w:r>
              <w:rPr>
                <w:rFonts w:ascii="Times New Roman" w:hAnsi="Times New Roman"/>
                <w:i w:val="0"/>
                <w:sz w:val="17"/>
              </w:rPr>
              <w:t xml:space="preserve"> = .009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14/3, </w:t>
            </w:r>
            <w:r>
              <w:rPr>
                <w:rFonts w:ascii="Times New Roman" w:hAnsi="Times New Roman"/>
                <w:i/>
                <w:sz w:val="17"/>
              </w:rPr>
              <w:t>P</w:t>
            </w:r>
            <w:r>
              <w:rPr>
                <w:rFonts w:ascii="Times New Roman" w:hAnsi="Times New Roman"/>
                <w:i w:val="0"/>
                <w:sz w:val="17"/>
              </w:rPr>
              <w:t xml:space="preserve"> = .013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8/1, </w:t>
            </w:r>
            <w:r>
              <w:rPr>
                <w:rFonts w:ascii="Times New Roman" w:hAnsi="Times New Roman"/>
                <w:i/>
                <w:sz w:val="17"/>
              </w:rPr>
              <w:t>P</w:t>
            </w:r>
            <w:r>
              <w:rPr>
                <w:rFonts w:ascii="Times New Roman" w:hAnsi="Times New Roman"/>
                <w:i w:val="0"/>
                <w:sz w:val="17"/>
              </w:rPr>
              <w:t xml:space="preserve"> = .039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Exact McNemar CT vs US: discordant pairs, </w:t>
            </w:r>
            <w:r>
              <w:rPr>
                <w:rFonts w:ascii="Times New Roman" w:hAnsi="Times New Roman"/>
                <w:i/>
                <w:sz w:val="17"/>
              </w:rPr>
              <w:t>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7/11, </w:t>
            </w:r>
            <w:r>
              <w:rPr>
                <w:rFonts w:ascii="Times New Roman" w:hAnsi="Times New Roman"/>
                <w:i/>
                <w:sz w:val="17"/>
              </w:rPr>
              <w:t>P</w:t>
            </w:r>
            <w:r>
              <w:rPr>
                <w:rFonts w:ascii="Times New Roman" w:hAnsi="Times New Roman"/>
                <w:i w:val="0"/>
                <w:sz w:val="17"/>
              </w:rPr>
              <w:t xml:space="preserve"> = .481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4/9, </w:t>
            </w:r>
            <w:r>
              <w:rPr>
                <w:rFonts w:ascii="Times New Roman" w:hAnsi="Times New Roman"/>
                <w:i/>
                <w:sz w:val="17"/>
              </w:rPr>
              <w:t>P</w:t>
            </w:r>
            <w:r>
              <w:rPr>
                <w:rFonts w:ascii="Times New Roman" w:hAnsi="Times New Roman"/>
                <w:i w:val="0"/>
                <w:sz w:val="17"/>
              </w:rPr>
              <w:t xml:space="preserve"> = .267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2/6, </w:t>
            </w:r>
            <w:r>
              <w:rPr>
                <w:rFonts w:ascii="Times New Roman" w:hAnsi="Times New Roman"/>
                <w:i/>
                <w:sz w:val="17"/>
              </w:rPr>
              <w:t>P</w:t>
            </w:r>
            <w:r>
              <w:rPr>
                <w:rFonts w:ascii="Times New Roman" w:hAnsi="Times New Roman"/>
                <w:i w:val="0"/>
                <w:sz w:val="17"/>
              </w:rPr>
              <w:t xml:space="preserve"> = .289</w:t>
            </w:r>
          </w:p>
        </w:tc>
      </w:tr>
    </w:tbl>
    <w:p>
      <w:pPr>
        <w:spacing w:after="160"/>
      </w:pPr>
    </w:p>
    <w:p>
      <w:pPr>
        <w:spacing w:after="160"/>
      </w:pPr>
      <w:r>
        <w:t xml:space="preserve">This subgroup was presumably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801370"/>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801370"/>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dominant documented finding and the near-exclusive determinant of a positive report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Table S9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w:t>
      </w:r>
      <w:r>
        <w:rPr>
          <w:i/>
        </w:rPr>
        <w:t>P</w:t>
      </w:r>
      <w:r>
        <w:t xml:space="preserve"> ≤ .005) and the adjusted era term is non-significant at every boundary. The association of examination type with detection therefore does not depend on where the boundary is placed, whereas the crude era difference does. This is why the manuscript treats the temporal analysis as exploratory.</w:t>
      </w:r>
    </w:p>
    <w:p>
      <w:pPr>
        <w:spacing w:after="160"/>
      </w:pPr>
      <w:r>
        <w:rPr>
          <w:b/>
        </w:rPr>
        <w:t>Table S9.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2.66 (1.23–5.77), </w:t>
            </w:r>
            <w:r>
              <w:rPr>
                <w:rFonts w:ascii="Times New Roman" w:hAnsi="Times New Roman"/>
                <w:i/>
                <w:sz w:val="17"/>
              </w:rPr>
              <w:t>P</w:t>
            </w:r>
            <w:r>
              <w:rPr>
                <w:rFonts w:ascii="Times New Roman" w:hAnsi="Times New Roman"/>
                <w:i w:val="0"/>
                <w:sz w:val="17"/>
              </w:rPr>
              <w:t xml:space="preserve"> = .013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1.77 (0.76–4.13), </w:t>
            </w:r>
            <w:r>
              <w:rPr>
                <w:rFonts w:ascii="Times New Roman" w:hAnsi="Times New Roman"/>
                <w:i/>
                <w:sz w:val="17"/>
              </w:rPr>
              <w:t>P</w:t>
            </w:r>
            <w:r>
              <w:rPr>
                <w:rFonts w:ascii="Times New Roman" w:hAnsi="Times New Roman"/>
                <w:i w:val="0"/>
                <w:sz w:val="17"/>
              </w:rPr>
              <w:t xml:space="preserve"> = .183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3.21 (1.41–7.30), </w:t>
            </w:r>
            <w:r>
              <w:rPr>
                <w:rFonts w:ascii="Times New Roman" w:hAnsi="Times New Roman"/>
                <w:i/>
                <w:sz w:val="17"/>
              </w:rPr>
              <w:t>P</w:t>
            </w:r>
            <w:r>
              <w:rPr>
                <w:rFonts w:ascii="Times New Roman" w:hAnsi="Times New Roman"/>
                <w:i w:val="0"/>
                <w:sz w:val="17"/>
              </w:rPr>
              <w:t xml:space="preserve"> = .005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1.84 (0.88–3.85), </w:t>
            </w:r>
            <w:r>
              <w:rPr>
                <w:rFonts w:ascii="Times New Roman" w:hAnsi="Times New Roman"/>
                <w:i/>
                <w:sz w:val="17"/>
              </w:rPr>
              <w:t>P</w:t>
            </w:r>
            <w:r>
              <w:rPr>
                <w:rFonts w:ascii="Times New Roman" w:hAnsi="Times New Roman"/>
                <w:i w:val="0"/>
                <w:sz w:val="17"/>
              </w:rPr>
              <w:t xml:space="preserve"> = .106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1.22 (0.54–2.75), </w:t>
            </w:r>
            <w:r>
              <w:rPr>
                <w:rFonts w:ascii="Times New Roman" w:hAnsi="Times New Roman"/>
                <w:i/>
                <w:sz w:val="17"/>
              </w:rPr>
              <w:t>P</w:t>
            </w:r>
            <w:r>
              <w:rPr>
                <w:rFonts w:ascii="Times New Roman" w:hAnsi="Times New Roman"/>
                <w:i w:val="0"/>
                <w:sz w:val="17"/>
              </w:rPr>
              <w:t xml:space="preserve"> = .638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3.65 (1.61–8.27),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1.17 (0.55–2.50), </w:t>
            </w:r>
            <w:r>
              <w:rPr>
                <w:rFonts w:ascii="Times New Roman" w:hAnsi="Times New Roman"/>
                <w:i/>
                <w:sz w:val="17"/>
              </w:rPr>
              <w:t>P</w:t>
            </w:r>
            <w:r>
              <w:rPr>
                <w:rFonts w:ascii="Times New Roman" w:hAnsi="Times New Roman"/>
                <w:i w:val="0"/>
                <w:sz w:val="17"/>
              </w:rPr>
              <w:t xml:space="preserve"> = .691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0.85 (0.37–1.94), </w:t>
            </w:r>
            <w:r>
              <w:rPr>
                <w:rFonts w:ascii="Times New Roman" w:hAnsi="Times New Roman"/>
                <w:i/>
                <w:sz w:val="17"/>
              </w:rPr>
              <w:t>P</w:t>
            </w:r>
            <w:r>
              <w:rPr>
                <w:rFonts w:ascii="Times New Roman" w:hAnsi="Times New Roman"/>
                <w:i w:val="0"/>
                <w:sz w:val="17"/>
              </w:rPr>
              <w:t xml:space="preserve"> = .700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4.04 (1.82–8.97),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S10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S10.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S11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S11.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Marginal effects, paired differences, the separated contrast and interaction terms</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S12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S12.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adjusted for contrast enhancement</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+16.4 (+4.3 to +27.3)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crude</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 (−4.7 to +15.0)</w:t>
            </w:r>
          </w:p>
        </w:tc>
      </w:tr>
    </w:tbl>
    <w:p>
      <w:pPr>
        <w:spacing w:after="160"/>
      </w:pPr>
    </w:p>
    <w:p>
      <w:pPr>
        <w:spacing w:after="160"/>
      </w:pPr>
      <w:r>
        <w:rPr>
          <w:b/>
        </w:rPr>
        <w:t>Paired differences with confidence intervals.</w:t>
      </w:r>
      <w:r>
        <w:t xml:space="preserve"> Table S13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presumably selected by diagnostic uncertainty, and are not differences in accuracy.</w:t>
      </w:r>
    </w:p>
    <w:p>
      <w:pPr>
        <w:spacing w:after="160"/>
      </w:pPr>
      <w:r>
        <w:rPr>
          <w:b/>
        </w:rPr>
        <w:t>Table S13.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 xml:space="preserve">Exact McNemar </w:t>
            </w:r>
            <w:r>
              <w:rPr>
                <w:rFonts w:ascii="Times New Roman" w:hAnsi="Times New Roman"/>
                <w:b/>
                <w:i/>
                <w:sz w:val="17"/>
              </w:rPr>
              <w:t>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S14.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w:t>
      </w:r>
      <w:r>
        <w:rPr>
          <w:i/>
        </w:rPr>
        <w:t>P</w:t>
      </w:r>
      <w:r>
        <w:t xml:space="preserve"> = .013).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S14 also reports era-by-content interaction terms for ultrasound and CT; neither is significant, so the additive models used in Table 4 are not obviously misspecified.</w:t>
      </w:r>
    </w:p>
    <w:p>
      <w:pPr>
        <w:spacing w:after="160"/>
      </w:pPr>
      <w:r>
        <w:rPr>
          <w:b/>
        </w:rPr>
        <w:t>Table S14.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