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t>[Masked manuscript. Author names, affiliations and corresponding-author details are provided on the separate title page.]</w:t>
      </w:r>
    </w:p>
    <w:p>
      <w:pPr>
        <w:spacing w:after="160"/>
      </w:pPr>
      <w:r>
        <w:t>Word count: 2,978 (Introduction through Take-Home Points; excluding abstract, references, tables and figure legends); Tables: 4; Figures: 3; Supplemental material: Supplements 1–3</w:t>
      </w:r>
    </w:p>
    <w:p>
      <w:pPr>
        <w:pStyle w:val="Heading1"/>
      </w:pPr>
      <w:r>
        <w:t>Abstract</w:t>
      </w:r>
    </w:p>
    <w:p>
      <w:pPr>
        <w:spacing w:after="160"/>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 great-vessel sessions reduced the difference from +19.0 to +8.2 percentage points, an interval including zero.</w:t>
      </w:r>
    </w:p>
    <w:p>
      <w:pPr>
        <w:spacing w:after="160"/>
      </w:pPr>
      <w:r>
        <w:rPr>
          <w:b/>
        </w:rPr>
        <w:t>Conclusion: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pPr>
      <w:r>
        <w:rPr>
          <w:b/>
        </w:rPr>
        <w:t>Keywords:</w:t>
      </w:r>
      <w:r>
        <w:t xml:space="preserve"> Intestinal malrotation; Intestinal volvulus; Infant, Newborn; Ultrasonography; Radiology report</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(Figure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cecal position and bedside performance; for CT and the UGI series, the corresponding landmarks (Supplement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Supplement 1. A pediatric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Figure 1).</w:t>
      </w:r>
    </w:p>
    <w:p>
      <w:pPr>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(Figure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Figure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(Supplement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Figure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(Supplement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(Supplement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(Supplement 2). These comparisons describe reporting within one selected subgroup and are not measures of accuracy. Only 6 of the 62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multicenter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randomized,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(Supplement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pPr>
      <w:r>
        <w:t>• Routine ultrasound reports for children with surgically confirmed malrotation documented the duodenal landmarks underpinning published accuracy in 2.5% of examinations and reported the diagnosis almost only when a whirlpool sign was present.</w:t>
      </w:r>
    </w:p>
    <w:p>
      <w:pPr>
        <w:spacing w:after="160"/>
      </w:pPr>
      <w:r>
        <w:t>• In practice, routine ultrasound served as a test for volvulus rather than for malrotation: a whirlpool sign was recorded in only 58 of 113 children in whom operation confirmed volvulus.</w:t>
      </w:r>
    </w:p>
    <w:p>
      <w:pPr>
        <w:spacing w:after="160"/>
      </w:pPr>
      <w:r>
        <w:t>• These are report-level detection rates among surgically confirmed children, not sensitivities; they establish no specificity, predictive value or ranking of modalities, and are no argument against ultrasound-first pathways.</w:t>
      </w:r>
    </w:p>
    <w:p>
      <w:pPr>
        <w:spacing w:after="160"/>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pPr>
      <w:r>
        <w:rPr>
          <w:b/>
        </w:rPr>
        <w:t>Supplement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(`Supplement_1_classifier.py`),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Supplement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pStyle w:val="Heading1"/>
      </w:pPr>
      <w:r>
        <w:t>References</w:t>
      </w:r>
    </w:p>
    <w:p>
      <w:pPr>
        <w:spacing w:after="60"/>
      </w:pPr>
      <w:r>
        <w:rPr>
          <w:sz w:val="20"/>
        </w:rPr>
        <w:t xml:space="preserve">1. Marine MB, Karmazyn B. Imaging of malrotation in the neonate. </w:t>
      </w:r>
      <w:r>
        <w:rPr>
          <w:i/>
          <w:sz w:val="20"/>
        </w:rPr>
        <w:t>Semin Ultrasound CT MR</w:t>
      </w:r>
      <w:r>
        <w:rPr>
          <w:sz w:val="20"/>
        </w:rPr>
        <w:t>. 2014;35:555-570. doi:10.1053/j.sult.2014.08.004</w:t>
      </w:r>
    </w:p>
    <w:p>
      <w:pPr>
        <w:spacing w:after="60"/>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pPr>
      <w:r>
        <w:rPr>
          <w:sz w:val="20"/>
        </w:rPr>
        <w:t xml:space="preserve">4. Menghwani H, Piplani R, Yhoshu E, et al. Delayed presentation of malrotation: case series and literature review. </w:t>
      </w:r>
      <w:r>
        <w:rPr>
          <w:i/>
          <w:sz w:val="20"/>
        </w:rPr>
        <w:t>J Indian Assoc Pediatr Surg</w:t>
      </w:r>
      <w:r>
        <w:rPr>
          <w:sz w:val="20"/>
        </w:rPr>
        <w:t>. 2023;28:271-277. doi:10.4103/jiaps.jiaps_2_23</w:t>
      </w:r>
    </w:p>
    <w:p>
      <w:pPr>
        <w:spacing w:after="60"/>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pPr>
      <w:r>
        <w:rPr>
          <w:sz w:val="20"/>
        </w:rPr>
        <w:t xml:space="preserve">10. Sodhi KS, Bhatia A, Saxena AK, et al. Anticlockwise swirl of mesenteric vessels: a normal CT appearance, retrospective analysis of 200 pediatric patients. </w:t>
      </w:r>
      <w:r>
        <w:rPr>
          <w:i/>
          <w:sz w:val="20"/>
        </w:rPr>
        <w:t>Eur J Radiol</w:t>
      </w:r>
      <w:r>
        <w:rPr>
          <w:sz w:val="20"/>
        </w:rPr>
        <w:t>. 2014;83:710-714. doi:10.1016/j.ejrad.2013.12.026</w:t>
      </w:r>
    </w:p>
    <w:p>
      <w:pPr>
        <w:spacing w:after="60"/>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pPr>
      <w:r>
        <w:rPr>
          <w:sz w:val="20"/>
        </w:rPr>
        <w:t xml:space="preserve">15. McCurdie FK, Meshaka R, Leung G, et al. Ultrasound for infantile midgut malrotation: techniques, pearls, and pitfalls. </w:t>
      </w:r>
      <w:r>
        <w:rPr>
          <w:i/>
          <w:sz w:val="20"/>
        </w:rPr>
        <w:t>Pediatr Radiol</w:t>
      </w:r>
      <w:r>
        <w:rPr>
          <w:sz w:val="20"/>
        </w:rPr>
        <w:t>. 2024;54:2099-2111. doi:10.1007/s00247-024-06067-4</w:t>
      </w:r>
    </w:p>
    <w:p>
      <w:pPr>
        <w:spacing w:after="60"/>
      </w:pPr>
      <w:r>
        <w:rPr>
          <w:sz w:val="20"/>
        </w:rPr>
        <w:t xml:space="preserve">16. Menten R, Reding R, Godding V, et al.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pPr>
      <w:r>
        <w:rPr>
          <w:sz w:val="20"/>
        </w:rPr>
        <w:t xml:space="preserve">19. von Elm E, Altman DG, Egger M, et al.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pPr>
      <w:r>
        <w:rPr>
          <w:sz w:val="20"/>
        </w:rPr>
        <w:t xml:space="preserve">22. Zeger SL, Liang KY. Longitudinal data analysis for discrete and continuous outcomes. </w:t>
      </w:r>
      <w:r>
        <w:rPr>
          <w:i/>
          <w:sz w:val="20"/>
        </w:rPr>
        <w:t>Biometrics</w:t>
      </w:r>
      <w:r>
        <w:rPr>
          <w:sz w:val="20"/>
        </w:rPr>
        <w:t>. 1986;42:121-130. doi:10.2307/2531248</w:t>
      </w:r>
    </w:p>
    <w:p>
      <w:pPr>
        <w:spacing w:after="60"/>
      </w:pPr>
      <w:r>
        <w:rPr>
          <w:sz w:val="20"/>
        </w:rPr>
        <w:t xml:space="preserve">23. Firth D. Bias reduction of maximum likelihood estimates. </w:t>
      </w:r>
      <w:r>
        <w:rPr>
          <w:i/>
          <w:sz w:val="20"/>
        </w:rPr>
        <w:t>Biometrika</w:t>
      </w:r>
      <w:r>
        <w:rPr>
          <w:sz w:val="20"/>
        </w:rPr>
        <w:t>. 1993;80:27-38. doi:10.1093/biomet/80.1.27</w:t>
      </w:r>
    </w:p>
    <w:p>
      <w:pPr>
        <w:spacing w:after="60"/>
      </w:pPr>
      <w:r>
        <w:rPr>
          <w:sz w:val="20"/>
        </w:rPr>
        <w:t xml:space="preserve">24. Heinze G, Schemper M. A solution to the problem of separation in logistic regression. </w:t>
      </w:r>
      <w:r>
        <w:rPr>
          <w:i/>
          <w:sz w:val="20"/>
        </w:rPr>
        <w:t>Stat Med</w:t>
      </w:r>
      <w:r>
        <w:rPr>
          <w:sz w:val="20"/>
        </w:rPr>
        <w:t>. 2002;21:2409-2419. doi:10.1002/sim.1047</w:t>
      </w:r>
    </w:p>
    <w:p>
      <w:pPr>
        <w:pStyle w:val="Heading1"/>
      </w:pPr>
      <w:r>
        <w:t>Figure legends</w:t>
      </w:r>
    </w:p>
    <w:p>
      <w:pPr>
        <w:spacing w:after="160"/>
      </w:pPr>
      <w:r>
        <w:rPr>
          <w:b/>
        </w:rPr>
        <w:t>Figure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Figure 3. Ultrasound examination content and detection conditional on that content.</w:t>
      </w:r>
      <w:r>
        <w:t xml:space="preserve"> A, Documented content of the 119 ultrasound index examinations.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